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D335" w14:textId="4E95425A" w:rsidR="000E7BB6" w:rsidRDefault="00FE5B78" w:rsidP="00511DF2">
      <w:pPr>
        <w:spacing w:after="0"/>
        <w:ind w:left="120"/>
        <w:jc w:val="center"/>
        <w:rPr>
          <w:rFonts w:ascii="Cambria" w:hAnsi="Cambria"/>
          <w:b/>
          <w:color w:val="000000"/>
        </w:rPr>
      </w:pPr>
      <w:r>
        <w:rPr>
          <w:rFonts w:ascii="Cambria" w:hAnsi="Cambria"/>
          <w:b/>
          <w:color w:val="000000"/>
        </w:rPr>
        <w:t xml:space="preserve">Postsecondary </w:t>
      </w:r>
      <w:r w:rsidR="000E7BB6">
        <w:rPr>
          <w:rFonts w:ascii="Cambria" w:hAnsi="Cambria"/>
          <w:b/>
          <w:color w:val="000000"/>
        </w:rPr>
        <w:t>Transfer</w:t>
      </w:r>
      <w:r w:rsidR="00E71861">
        <w:rPr>
          <w:rFonts w:ascii="Cambria" w:hAnsi="Cambria"/>
          <w:b/>
          <w:color w:val="000000"/>
        </w:rPr>
        <w:t>s</w:t>
      </w:r>
      <w:r w:rsidR="00012681">
        <w:rPr>
          <w:rFonts w:ascii="Cambria" w:hAnsi="Cambria"/>
          <w:b/>
          <w:color w:val="000000"/>
        </w:rPr>
        <w:t xml:space="preserve"> </w:t>
      </w:r>
      <w:r>
        <w:rPr>
          <w:rFonts w:ascii="Cambria" w:hAnsi="Cambria"/>
          <w:b/>
          <w:color w:val="000000"/>
        </w:rPr>
        <w:t>in</w:t>
      </w:r>
      <w:r w:rsidR="00012681">
        <w:rPr>
          <w:rFonts w:ascii="Cambria" w:hAnsi="Cambria"/>
          <w:b/>
          <w:color w:val="000000"/>
        </w:rPr>
        <w:t>to</w:t>
      </w:r>
      <w:r>
        <w:rPr>
          <w:rFonts w:ascii="Cambria" w:hAnsi="Cambria"/>
          <w:b/>
          <w:color w:val="000000"/>
        </w:rPr>
        <w:t xml:space="preserve"> the</w:t>
      </w:r>
      <w:r w:rsidR="000E7BB6">
        <w:rPr>
          <w:rFonts w:ascii="Cambria" w:hAnsi="Cambria"/>
          <w:b/>
          <w:color w:val="000000"/>
        </w:rPr>
        <w:t xml:space="preserve"> University</w:t>
      </w:r>
      <w:r>
        <w:rPr>
          <w:rFonts w:ascii="Cambria" w:hAnsi="Cambria"/>
          <w:b/>
          <w:color w:val="000000"/>
        </w:rPr>
        <w:t xml:space="preserve"> of Toronto</w:t>
      </w:r>
      <w:r w:rsidR="000E7BB6">
        <w:rPr>
          <w:rFonts w:ascii="Cambria" w:hAnsi="Cambria"/>
          <w:b/>
          <w:color w:val="000000"/>
        </w:rPr>
        <w:t>:</w:t>
      </w:r>
    </w:p>
    <w:p w14:paraId="6A180254" w14:textId="57D39828" w:rsidR="00511DF2" w:rsidRDefault="00FE5B78" w:rsidP="00511DF2">
      <w:pPr>
        <w:spacing w:after="0"/>
        <w:ind w:left="120"/>
        <w:jc w:val="center"/>
        <w:rPr>
          <w:rFonts w:ascii="Cambria" w:hAnsi="Cambria"/>
          <w:b/>
          <w:color w:val="000000"/>
        </w:rPr>
      </w:pPr>
      <w:r>
        <w:rPr>
          <w:rFonts w:ascii="Cambria" w:hAnsi="Cambria"/>
          <w:b/>
          <w:color w:val="000000"/>
        </w:rPr>
        <w:t xml:space="preserve">Findings from a New </w:t>
      </w:r>
      <w:r w:rsidR="009238FB">
        <w:rPr>
          <w:rFonts w:ascii="Cambria" w:hAnsi="Cambria"/>
          <w:b/>
          <w:color w:val="000000"/>
        </w:rPr>
        <w:t xml:space="preserve">TDSB-UofT </w:t>
      </w:r>
      <w:r>
        <w:rPr>
          <w:rFonts w:ascii="Cambria" w:hAnsi="Cambria"/>
          <w:b/>
          <w:color w:val="000000"/>
        </w:rPr>
        <w:t>Data Linkage</w:t>
      </w:r>
    </w:p>
    <w:p w14:paraId="6B810847" w14:textId="736F9DCF" w:rsidR="003D7062" w:rsidRDefault="003D7062" w:rsidP="00511DF2">
      <w:pPr>
        <w:spacing w:after="0"/>
        <w:ind w:left="120"/>
        <w:jc w:val="center"/>
        <w:rPr>
          <w:rFonts w:ascii="Cambria" w:hAnsi="Cambria"/>
          <w:b/>
          <w:color w:val="000000"/>
        </w:rPr>
      </w:pPr>
      <w:r>
        <w:rPr>
          <w:rFonts w:ascii="Cambria" w:hAnsi="Cambria"/>
          <w:b/>
          <w:color w:val="000000"/>
        </w:rPr>
        <w:t>Final Report</w:t>
      </w:r>
    </w:p>
    <w:p w14:paraId="02631911" w14:textId="77777777" w:rsidR="000E7BB6" w:rsidRDefault="000E7BB6" w:rsidP="00511DF2">
      <w:pPr>
        <w:spacing w:after="0"/>
        <w:ind w:left="120"/>
        <w:jc w:val="center"/>
      </w:pPr>
    </w:p>
    <w:p w14:paraId="43C68C5B" w14:textId="77777777" w:rsidR="00F14699" w:rsidRDefault="009238FB" w:rsidP="00511DF2">
      <w:pPr>
        <w:spacing w:after="0"/>
        <w:ind w:left="120"/>
        <w:jc w:val="center"/>
      </w:pPr>
      <w:r>
        <w:rPr>
          <w:rFonts w:ascii="Cambria" w:hAnsi="Cambria"/>
          <w:color w:val="000000"/>
        </w:rPr>
        <w:t>Scott Davies, University of Toronto</w:t>
      </w:r>
    </w:p>
    <w:p w14:paraId="33034711" w14:textId="15EB09E6" w:rsidR="00F14699" w:rsidRDefault="00FE5B78" w:rsidP="00511DF2">
      <w:pPr>
        <w:spacing w:after="0"/>
        <w:ind w:left="120"/>
        <w:jc w:val="center"/>
      </w:pPr>
      <w:r>
        <w:rPr>
          <w:rFonts w:ascii="Cambria" w:hAnsi="Cambria"/>
          <w:color w:val="000000"/>
        </w:rPr>
        <w:t>April</w:t>
      </w:r>
      <w:r w:rsidR="0095464A">
        <w:rPr>
          <w:rFonts w:ascii="Cambria" w:hAnsi="Cambria"/>
          <w:color w:val="000000"/>
        </w:rPr>
        <w:t xml:space="preserve"> </w:t>
      </w:r>
      <w:r w:rsidR="003D7062">
        <w:rPr>
          <w:rFonts w:ascii="Cambria" w:hAnsi="Cambria"/>
          <w:color w:val="000000"/>
        </w:rPr>
        <w:t>2</w:t>
      </w:r>
      <w:r w:rsidR="00C631FD">
        <w:rPr>
          <w:rFonts w:ascii="Cambria" w:hAnsi="Cambria"/>
          <w:color w:val="000000"/>
        </w:rPr>
        <w:t>6</w:t>
      </w:r>
      <w:r w:rsidR="0095464A">
        <w:rPr>
          <w:rFonts w:ascii="Cambria" w:hAnsi="Cambria"/>
          <w:color w:val="000000"/>
        </w:rPr>
        <w:t>, 2022</w:t>
      </w:r>
    </w:p>
    <w:p w14:paraId="1FCA2002" w14:textId="0E1AACB9" w:rsidR="00511DF2" w:rsidRDefault="00511DF2">
      <w:pPr>
        <w:spacing w:after="0"/>
        <w:ind w:left="120"/>
        <w:rPr>
          <w:rFonts w:ascii="Cambria" w:hAnsi="Cambria"/>
          <w:b/>
          <w:color w:val="000000"/>
        </w:rPr>
      </w:pPr>
    </w:p>
    <w:p w14:paraId="283AB57C" w14:textId="77777777" w:rsidR="00F14699" w:rsidRDefault="009238FB" w:rsidP="00511DF2">
      <w:pPr>
        <w:spacing w:after="0"/>
        <w:ind w:left="120"/>
        <w:jc w:val="center"/>
      </w:pPr>
      <w:r>
        <w:rPr>
          <w:rFonts w:ascii="Cambria" w:hAnsi="Cambria"/>
          <w:b/>
          <w:color w:val="000000"/>
        </w:rPr>
        <w:t>Executive Summary</w:t>
      </w:r>
    </w:p>
    <w:p w14:paraId="71C4112B" w14:textId="48786609" w:rsidR="00AC3652" w:rsidRDefault="003006E0" w:rsidP="00676A6A">
      <w:pPr>
        <w:spacing w:after="0"/>
        <w:ind w:left="120"/>
        <w:rPr>
          <w:rFonts w:ascii="Cambria" w:hAnsi="Cambria"/>
          <w:color w:val="000000"/>
        </w:rPr>
      </w:pPr>
      <w:r>
        <w:rPr>
          <w:rFonts w:ascii="Cambria" w:hAnsi="Cambria"/>
          <w:color w:val="000000"/>
        </w:rPr>
        <w:tab/>
      </w:r>
      <w:r w:rsidR="00341B70">
        <w:rPr>
          <w:rFonts w:ascii="Cambria" w:hAnsi="Cambria"/>
          <w:color w:val="000000"/>
        </w:rPr>
        <w:t>S</w:t>
      </w:r>
      <w:r>
        <w:rPr>
          <w:rFonts w:ascii="Cambria" w:hAnsi="Cambria"/>
          <w:color w:val="000000"/>
        </w:rPr>
        <w:t xml:space="preserve">tudent </w:t>
      </w:r>
      <w:r w:rsidR="00341B70">
        <w:rPr>
          <w:rFonts w:ascii="Cambria" w:hAnsi="Cambria"/>
          <w:color w:val="000000"/>
        </w:rPr>
        <w:t>who move from th</w:t>
      </w:r>
      <w:r>
        <w:rPr>
          <w:rFonts w:ascii="Cambria" w:hAnsi="Cambria"/>
          <w:color w:val="000000"/>
        </w:rPr>
        <w:t xml:space="preserve">e Toronto District School Board (TDSB) </w:t>
      </w:r>
      <w:r w:rsidR="00341B70">
        <w:rPr>
          <w:rFonts w:ascii="Cambria" w:hAnsi="Cambria"/>
          <w:color w:val="000000"/>
        </w:rPr>
        <w:t xml:space="preserve">into </w:t>
      </w:r>
      <w:r>
        <w:rPr>
          <w:rFonts w:ascii="Cambria" w:hAnsi="Cambria"/>
          <w:color w:val="000000"/>
        </w:rPr>
        <w:t xml:space="preserve">the University of Toronto (UofT) </w:t>
      </w:r>
      <w:r w:rsidR="00341B70">
        <w:rPr>
          <w:rFonts w:ascii="Cambria" w:hAnsi="Cambria"/>
          <w:color w:val="000000"/>
        </w:rPr>
        <w:t>provide i</w:t>
      </w:r>
      <w:r>
        <w:rPr>
          <w:rFonts w:ascii="Cambria" w:hAnsi="Cambria"/>
          <w:color w:val="000000"/>
        </w:rPr>
        <w:t xml:space="preserve">deal </w:t>
      </w:r>
      <w:r w:rsidR="00341B70">
        <w:rPr>
          <w:rFonts w:ascii="Cambria" w:hAnsi="Cambria"/>
          <w:color w:val="000000"/>
        </w:rPr>
        <w:t>cases for e</w:t>
      </w:r>
      <w:r>
        <w:rPr>
          <w:rFonts w:ascii="Cambria" w:hAnsi="Cambria"/>
          <w:color w:val="000000"/>
        </w:rPr>
        <w:t>xamin</w:t>
      </w:r>
      <w:r w:rsidR="00341B70">
        <w:rPr>
          <w:rFonts w:ascii="Cambria" w:hAnsi="Cambria"/>
          <w:color w:val="000000"/>
        </w:rPr>
        <w:t>ing</w:t>
      </w:r>
      <w:r w:rsidRPr="00D4346F">
        <w:rPr>
          <w:rFonts w:ascii="Cambria" w:hAnsi="Cambria"/>
          <w:color w:val="000000"/>
        </w:rPr>
        <w:t xml:space="preserve"> </w:t>
      </w:r>
      <w:r w:rsidR="00341B70">
        <w:rPr>
          <w:rFonts w:ascii="Cambria" w:hAnsi="Cambria"/>
          <w:color w:val="000000"/>
        </w:rPr>
        <w:t xml:space="preserve">characteristics </w:t>
      </w:r>
      <w:r w:rsidRPr="00D4346F">
        <w:rPr>
          <w:rFonts w:ascii="Cambria" w:hAnsi="Cambria"/>
          <w:color w:val="000000"/>
        </w:rPr>
        <w:t>and outcomes</w:t>
      </w:r>
      <w:r>
        <w:rPr>
          <w:rFonts w:ascii="Cambria" w:hAnsi="Cambria"/>
          <w:color w:val="000000"/>
        </w:rPr>
        <w:t xml:space="preserve"> </w:t>
      </w:r>
      <w:r w:rsidR="00341B70">
        <w:rPr>
          <w:rFonts w:ascii="Cambria" w:hAnsi="Cambria"/>
          <w:color w:val="000000"/>
        </w:rPr>
        <w:t>of</w:t>
      </w:r>
      <w:r>
        <w:rPr>
          <w:rFonts w:ascii="Cambria" w:hAnsi="Cambria"/>
          <w:color w:val="000000"/>
        </w:rPr>
        <w:t xml:space="preserve"> a range of transfer students. </w:t>
      </w:r>
      <w:r w:rsidR="003F1AA4">
        <w:rPr>
          <w:rFonts w:ascii="Cambria" w:hAnsi="Cambria"/>
          <w:color w:val="000000"/>
        </w:rPr>
        <w:t xml:space="preserve">In 2020 </w:t>
      </w:r>
      <w:r w:rsidR="00FE5B78">
        <w:rPr>
          <w:rFonts w:ascii="Cambria" w:hAnsi="Cambria"/>
          <w:color w:val="000000"/>
        </w:rPr>
        <w:t>I</w:t>
      </w:r>
      <w:r w:rsidR="00341B70">
        <w:rPr>
          <w:rFonts w:ascii="Cambria" w:hAnsi="Cambria"/>
          <w:color w:val="000000"/>
        </w:rPr>
        <w:t xml:space="preserve"> compared transfer students and direct-entry students</w:t>
      </w:r>
      <w:r w:rsidR="00FE5B78">
        <w:rPr>
          <w:rFonts w:ascii="Cambria" w:hAnsi="Cambria"/>
          <w:color w:val="000000"/>
        </w:rPr>
        <w:t xml:space="preserve"> us</w:t>
      </w:r>
      <w:r w:rsidR="00341B70">
        <w:rPr>
          <w:rFonts w:ascii="Cambria" w:hAnsi="Cambria"/>
          <w:color w:val="000000"/>
        </w:rPr>
        <w:t xml:space="preserve">ing </w:t>
      </w:r>
      <w:r>
        <w:rPr>
          <w:rFonts w:ascii="Cambria" w:hAnsi="Cambria"/>
          <w:color w:val="000000"/>
        </w:rPr>
        <w:t>a</w:t>
      </w:r>
      <w:r w:rsidRPr="003006E0">
        <w:rPr>
          <w:rFonts w:ascii="Cambria" w:hAnsi="Cambria"/>
          <w:color w:val="000000"/>
        </w:rPr>
        <w:t xml:space="preserve"> </w:t>
      </w:r>
      <w:r>
        <w:rPr>
          <w:rFonts w:ascii="Cambria" w:hAnsi="Cambria"/>
          <w:color w:val="000000"/>
        </w:rPr>
        <w:t xml:space="preserve">dataset </w:t>
      </w:r>
      <w:r w:rsidR="00341B70">
        <w:rPr>
          <w:rFonts w:ascii="Cambria" w:hAnsi="Cambria"/>
          <w:color w:val="000000"/>
        </w:rPr>
        <w:t>with</w:t>
      </w:r>
      <w:r>
        <w:rPr>
          <w:rFonts w:ascii="Cambria" w:hAnsi="Cambria"/>
          <w:color w:val="000000"/>
        </w:rPr>
        <w:t xml:space="preserve"> 29,000 </w:t>
      </w:r>
      <w:r w:rsidR="00FE5B78">
        <w:rPr>
          <w:rFonts w:ascii="Cambria" w:hAnsi="Cambria"/>
          <w:color w:val="000000"/>
        </w:rPr>
        <w:t xml:space="preserve">former TDSB </w:t>
      </w:r>
      <w:r>
        <w:rPr>
          <w:rFonts w:ascii="Cambria" w:hAnsi="Cambria"/>
          <w:color w:val="000000"/>
        </w:rPr>
        <w:t xml:space="preserve">students who </w:t>
      </w:r>
      <w:r w:rsidR="00FE5B78">
        <w:rPr>
          <w:rFonts w:ascii="Cambria" w:hAnsi="Cambria"/>
          <w:color w:val="000000"/>
        </w:rPr>
        <w:t xml:space="preserve">attended </w:t>
      </w:r>
      <w:r>
        <w:rPr>
          <w:rFonts w:ascii="Cambria" w:hAnsi="Cambria"/>
          <w:color w:val="000000"/>
        </w:rPr>
        <w:t>UofT</w:t>
      </w:r>
      <w:r w:rsidR="009238FB">
        <w:rPr>
          <w:rFonts w:ascii="Cambria" w:hAnsi="Cambria"/>
          <w:color w:val="000000"/>
        </w:rPr>
        <w:t>.</w:t>
      </w:r>
      <w:r w:rsidR="00D4346F" w:rsidRPr="00D4346F">
        <w:t xml:space="preserve"> </w:t>
      </w:r>
      <w:r w:rsidR="003F1AA4">
        <w:rPr>
          <w:rFonts w:ascii="Cambria" w:hAnsi="Cambria"/>
          <w:color w:val="000000"/>
        </w:rPr>
        <w:t xml:space="preserve">However, that </w:t>
      </w:r>
      <w:r w:rsidR="00370710">
        <w:rPr>
          <w:rFonts w:ascii="Cambria" w:hAnsi="Cambria"/>
          <w:color w:val="000000"/>
        </w:rPr>
        <w:t xml:space="preserve">data </w:t>
      </w:r>
      <w:r w:rsidR="003F1AA4">
        <w:rPr>
          <w:rFonts w:ascii="Cambria" w:hAnsi="Cambria"/>
          <w:color w:val="000000"/>
        </w:rPr>
        <w:t xml:space="preserve">set lacked </w:t>
      </w:r>
      <w:r w:rsidR="00E71861">
        <w:rPr>
          <w:rFonts w:ascii="Cambria" w:hAnsi="Cambria"/>
          <w:color w:val="000000"/>
        </w:rPr>
        <w:t xml:space="preserve">transfer </w:t>
      </w:r>
      <w:r w:rsidR="003F1AA4">
        <w:rPr>
          <w:rFonts w:ascii="Cambria" w:hAnsi="Cambria"/>
          <w:color w:val="000000"/>
        </w:rPr>
        <w:t xml:space="preserve">flags and measures of transfer credits awarded. </w:t>
      </w:r>
      <w:r w:rsidR="006831EA">
        <w:rPr>
          <w:rFonts w:ascii="Cambria" w:hAnsi="Cambria"/>
          <w:color w:val="000000"/>
        </w:rPr>
        <w:t xml:space="preserve">This report describes a new </w:t>
      </w:r>
      <w:r w:rsidR="00FE5B78">
        <w:rPr>
          <w:rFonts w:ascii="Cambria" w:hAnsi="Cambria"/>
          <w:color w:val="000000"/>
        </w:rPr>
        <w:t xml:space="preserve">study </w:t>
      </w:r>
      <w:r w:rsidR="006831EA">
        <w:rPr>
          <w:rFonts w:ascii="Cambria" w:hAnsi="Cambria"/>
          <w:color w:val="000000"/>
        </w:rPr>
        <w:t xml:space="preserve">that </w:t>
      </w:r>
      <w:r w:rsidR="00FE5B78">
        <w:rPr>
          <w:rFonts w:ascii="Cambria" w:hAnsi="Cambria"/>
          <w:color w:val="000000"/>
        </w:rPr>
        <w:t xml:space="preserve">examines a </w:t>
      </w:r>
      <w:r w:rsidR="006831EA">
        <w:rPr>
          <w:rFonts w:ascii="Cambria" w:hAnsi="Cambria"/>
          <w:color w:val="000000"/>
        </w:rPr>
        <w:t xml:space="preserve">second </w:t>
      </w:r>
      <w:r w:rsidR="00FE5B78">
        <w:rPr>
          <w:rFonts w:ascii="Cambria" w:hAnsi="Cambria"/>
          <w:color w:val="000000"/>
        </w:rPr>
        <w:t>dataset</w:t>
      </w:r>
      <w:r w:rsidR="003F1AA4">
        <w:rPr>
          <w:rFonts w:ascii="Cambria" w:hAnsi="Cambria"/>
          <w:color w:val="000000"/>
        </w:rPr>
        <w:t xml:space="preserve"> </w:t>
      </w:r>
      <w:r w:rsidR="006831EA">
        <w:rPr>
          <w:rFonts w:ascii="Cambria" w:hAnsi="Cambria"/>
          <w:color w:val="000000"/>
        </w:rPr>
        <w:t xml:space="preserve">on </w:t>
      </w:r>
      <w:r w:rsidR="00A52E93">
        <w:rPr>
          <w:rFonts w:ascii="Cambria" w:hAnsi="Cambria"/>
          <w:color w:val="000000"/>
        </w:rPr>
        <w:t>18,000 students in the TDSB-UofT pathway</w:t>
      </w:r>
      <w:r w:rsidR="006831EA">
        <w:rPr>
          <w:rFonts w:ascii="Cambria" w:hAnsi="Cambria"/>
          <w:color w:val="000000"/>
        </w:rPr>
        <w:t xml:space="preserve">. It </w:t>
      </w:r>
      <w:r w:rsidR="00A52E93">
        <w:rPr>
          <w:rFonts w:ascii="Cambria" w:hAnsi="Cambria"/>
          <w:color w:val="000000"/>
        </w:rPr>
        <w:t>contains similar measures, but</w:t>
      </w:r>
      <w:r w:rsidR="00A52E93" w:rsidRPr="00A52E93">
        <w:rPr>
          <w:rFonts w:ascii="Cambria" w:hAnsi="Cambria"/>
          <w:color w:val="000000"/>
        </w:rPr>
        <w:t xml:space="preserve"> </w:t>
      </w:r>
      <w:r w:rsidR="00A52E93">
        <w:rPr>
          <w:rFonts w:ascii="Cambria" w:hAnsi="Cambria"/>
          <w:color w:val="000000"/>
        </w:rPr>
        <w:t>also contains transfer credit flags and measures numbers of credits awarded</w:t>
      </w:r>
      <w:r w:rsidR="00D83781">
        <w:rPr>
          <w:rFonts w:ascii="Cambria" w:hAnsi="Cambria"/>
          <w:color w:val="000000"/>
        </w:rPr>
        <w:t xml:space="preserve">. </w:t>
      </w:r>
      <w:r w:rsidR="00676A6A">
        <w:rPr>
          <w:rFonts w:ascii="Cambria" w:hAnsi="Cambria"/>
          <w:color w:val="000000"/>
        </w:rPr>
        <w:t>Th</w:t>
      </w:r>
      <w:r w:rsidR="00A52E93">
        <w:rPr>
          <w:rFonts w:ascii="Cambria" w:hAnsi="Cambria"/>
          <w:color w:val="000000"/>
        </w:rPr>
        <w:t xml:space="preserve">is </w:t>
      </w:r>
      <w:r w:rsidR="00FE5B78">
        <w:rPr>
          <w:rFonts w:ascii="Cambria" w:hAnsi="Cambria"/>
          <w:color w:val="000000"/>
        </w:rPr>
        <w:t xml:space="preserve">new </w:t>
      </w:r>
      <w:r w:rsidR="00A52E93">
        <w:rPr>
          <w:rFonts w:ascii="Cambria" w:hAnsi="Cambria"/>
          <w:color w:val="000000"/>
        </w:rPr>
        <w:t xml:space="preserve">dataset is used to </w:t>
      </w:r>
      <w:r w:rsidR="00676A6A">
        <w:rPr>
          <w:rFonts w:ascii="Cambria" w:hAnsi="Cambria"/>
          <w:color w:val="000000"/>
        </w:rPr>
        <w:t xml:space="preserve">address </w:t>
      </w:r>
      <w:r w:rsidR="00AC3652">
        <w:rPr>
          <w:rFonts w:ascii="Cambria" w:hAnsi="Cambria"/>
          <w:color w:val="000000"/>
        </w:rPr>
        <w:t>six</w:t>
      </w:r>
      <w:r w:rsidR="00676A6A">
        <w:rPr>
          <w:rFonts w:ascii="Cambria" w:hAnsi="Cambria"/>
          <w:color w:val="000000"/>
        </w:rPr>
        <w:t xml:space="preserve"> research questions: 1) </w:t>
      </w:r>
      <w:r>
        <w:rPr>
          <w:rFonts w:ascii="Cambria" w:hAnsi="Cambria"/>
          <w:color w:val="000000"/>
        </w:rPr>
        <w:t>W</w:t>
      </w:r>
      <w:r w:rsidR="00676A6A">
        <w:rPr>
          <w:rFonts w:ascii="Cambria" w:hAnsi="Cambria"/>
          <w:color w:val="000000"/>
        </w:rPr>
        <w:t>hat is the overall</w:t>
      </w:r>
      <w:r>
        <w:rPr>
          <w:rFonts w:ascii="Cambria" w:hAnsi="Cambria"/>
          <w:color w:val="000000"/>
        </w:rPr>
        <w:t xml:space="preserve"> proportion </w:t>
      </w:r>
      <w:r w:rsidR="00676A6A">
        <w:rPr>
          <w:rFonts w:ascii="Cambria" w:hAnsi="Cambria"/>
          <w:color w:val="000000"/>
        </w:rPr>
        <w:t xml:space="preserve">of transfer </w:t>
      </w:r>
      <w:r>
        <w:rPr>
          <w:rFonts w:ascii="Cambria" w:hAnsi="Cambria"/>
          <w:color w:val="000000"/>
        </w:rPr>
        <w:t xml:space="preserve">students among undergraduates </w:t>
      </w:r>
      <w:r w:rsidR="00676A6A">
        <w:rPr>
          <w:rFonts w:ascii="Cambria" w:hAnsi="Cambria"/>
          <w:color w:val="000000"/>
        </w:rPr>
        <w:t>in th</w:t>
      </w:r>
      <w:r w:rsidR="00120A20">
        <w:rPr>
          <w:rFonts w:ascii="Cambria" w:hAnsi="Cambria"/>
          <w:color w:val="000000"/>
        </w:rPr>
        <w:t>e TDSB-UofT</w:t>
      </w:r>
      <w:r w:rsidR="00676A6A">
        <w:rPr>
          <w:rFonts w:ascii="Cambria" w:hAnsi="Cambria"/>
          <w:color w:val="000000"/>
        </w:rPr>
        <w:t xml:space="preserve"> pathway? 2) From wh</w:t>
      </w:r>
      <w:r>
        <w:rPr>
          <w:rFonts w:ascii="Cambria" w:hAnsi="Cambria"/>
          <w:color w:val="000000"/>
        </w:rPr>
        <w:t>ich</w:t>
      </w:r>
      <w:r w:rsidR="00676A6A">
        <w:rPr>
          <w:rFonts w:ascii="Cambria" w:hAnsi="Cambria"/>
          <w:color w:val="000000"/>
        </w:rPr>
        <w:t xml:space="preserve"> institutions do th</w:t>
      </w:r>
      <w:r w:rsidR="00FE5B78">
        <w:rPr>
          <w:rFonts w:ascii="Cambria" w:hAnsi="Cambria"/>
          <w:color w:val="000000"/>
        </w:rPr>
        <w:t xml:space="preserve">ey </w:t>
      </w:r>
      <w:r w:rsidR="00676A6A">
        <w:rPr>
          <w:rFonts w:ascii="Cambria" w:hAnsi="Cambria"/>
          <w:color w:val="000000"/>
        </w:rPr>
        <w:t xml:space="preserve">transfer into UofT? 3) Do transfer and direct entry students differ in their demographics and high school academic profiles? </w:t>
      </w:r>
      <w:r>
        <w:rPr>
          <w:rFonts w:ascii="Cambria" w:hAnsi="Cambria"/>
          <w:color w:val="000000"/>
        </w:rPr>
        <w:t xml:space="preserve">4) </w:t>
      </w:r>
      <w:r w:rsidR="00FE5B78">
        <w:rPr>
          <w:rFonts w:ascii="Cambria" w:hAnsi="Cambria"/>
          <w:color w:val="000000"/>
        </w:rPr>
        <w:t xml:space="preserve">How many transfer </w:t>
      </w:r>
      <w:r>
        <w:rPr>
          <w:rFonts w:ascii="Cambria" w:hAnsi="Cambria"/>
          <w:color w:val="000000"/>
        </w:rPr>
        <w:t xml:space="preserve">students are awarded </w:t>
      </w:r>
      <w:r w:rsidR="00FE5B78">
        <w:rPr>
          <w:rFonts w:ascii="Cambria" w:hAnsi="Cambria"/>
          <w:color w:val="000000"/>
        </w:rPr>
        <w:t xml:space="preserve">some </w:t>
      </w:r>
      <w:r>
        <w:rPr>
          <w:rFonts w:ascii="Cambria" w:hAnsi="Cambria"/>
          <w:color w:val="000000"/>
        </w:rPr>
        <w:t>credits at UofT</w:t>
      </w:r>
      <w:r w:rsidR="00120A20">
        <w:rPr>
          <w:rFonts w:ascii="Cambria" w:hAnsi="Cambria"/>
          <w:color w:val="000000"/>
        </w:rPr>
        <w:t xml:space="preserve"> for previous course work</w:t>
      </w:r>
      <w:r>
        <w:rPr>
          <w:rFonts w:ascii="Cambria" w:hAnsi="Cambria"/>
          <w:color w:val="000000"/>
        </w:rPr>
        <w:t xml:space="preserve">, and </w:t>
      </w:r>
      <w:r w:rsidR="00FE5B78">
        <w:rPr>
          <w:rFonts w:ascii="Cambria" w:hAnsi="Cambria"/>
          <w:color w:val="000000"/>
        </w:rPr>
        <w:t xml:space="preserve">how </w:t>
      </w:r>
      <w:r w:rsidR="00120A20">
        <w:rPr>
          <w:rFonts w:ascii="Cambria" w:hAnsi="Cambria"/>
          <w:color w:val="000000"/>
        </w:rPr>
        <w:t xml:space="preserve">many credits did </w:t>
      </w:r>
      <w:r w:rsidR="00FE5B78">
        <w:rPr>
          <w:rFonts w:ascii="Cambria" w:hAnsi="Cambria"/>
          <w:color w:val="000000"/>
        </w:rPr>
        <w:t>they receive</w:t>
      </w:r>
      <w:r>
        <w:rPr>
          <w:rFonts w:ascii="Cambria" w:hAnsi="Cambria"/>
          <w:color w:val="000000"/>
        </w:rPr>
        <w:t>?</w:t>
      </w:r>
      <w:r w:rsidR="00676A6A">
        <w:rPr>
          <w:rFonts w:ascii="Cambria" w:hAnsi="Cambria"/>
          <w:color w:val="000000"/>
        </w:rPr>
        <w:t xml:space="preserve"> 5) Do transfer and direct entry students differ in their </w:t>
      </w:r>
      <w:r w:rsidR="00FE5B78">
        <w:rPr>
          <w:rFonts w:ascii="Cambria" w:hAnsi="Cambria"/>
          <w:color w:val="000000"/>
        </w:rPr>
        <w:t>academic outcomes at UofT</w:t>
      </w:r>
      <w:r>
        <w:rPr>
          <w:rFonts w:ascii="Cambria" w:hAnsi="Cambria"/>
          <w:color w:val="000000"/>
        </w:rPr>
        <w:t xml:space="preserve">, and </w:t>
      </w:r>
      <w:r w:rsidR="00AC3652">
        <w:rPr>
          <w:rFonts w:ascii="Cambria" w:hAnsi="Cambria"/>
          <w:color w:val="000000"/>
        </w:rPr>
        <w:t>6) D</w:t>
      </w:r>
      <w:r>
        <w:rPr>
          <w:rFonts w:ascii="Cambria" w:hAnsi="Cambria"/>
          <w:color w:val="000000"/>
        </w:rPr>
        <w:t>o transfer credits awarded influence those outcomes</w:t>
      </w:r>
      <w:r w:rsidR="00676A6A">
        <w:rPr>
          <w:rFonts w:ascii="Cambria" w:hAnsi="Cambria"/>
          <w:color w:val="000000"/>
        </w:rPr>
        <w:t xml:space="preserve">? This report </w:t>
      </w:r>
      <w:r w:rsidR="009E2673">
        <w:rPr>
          <w:rFonts w:ascii="Cambria" w:hAnsi="Cambria"/>
          <w:color w:val="000000"/>
        </w:rPr>
        <w:t xml:space="preserve">describes </w:t>
      </w:r>
      <w:r w:rsidR="00676A6A">
        <w:rPr>
          <w:rFonts w:ascii="Cambria" w:hAnsi="Cambria"/>
          <w:color w:val="000000"/>
        </w:rPr>
        <w:t>the following major findings:</w:t>
      </w:r>
    </w:p>
    <w:p w14:paraId="34F080BE" w14:textId="4944DC4B" w:rsidR="00676A6A" w:rsidRDefault="00676A6A" w:rsidP="00676A6A">
      <w:pPr>
        <w:spacing w:after="0"/>
        <w:ind w:left="120"/>
        <w:rPr>
          <w:rFonts w:ascii="Cambria" w:hAnsi="Cambria"/>
          <w:color w:val="000000"/>
        </w:rPr>
      </w:pPr>
      <w:r>
        <w:rPr>
          <w:rFonts w:ascii="Cambria" w:hAnsi="Cambria"/>
          <w:color w:val="000000"/>
        </w:rPr>
        <w:t xml:space="preserve"> </w:t>
      </w:r>
    </w:p>
    <w:p w14:paraId="2C419FFB" w14:textId="76A13EB9" w:rsidR="00120A20" w:rsidRDefault="009E2673" w:rsidP="00120A20">
      <w:pPr>
        <w:pStyle w:val="ListParagraph"/>
        <w:spacing w:after="0"/>
        <w:ind w:left="480"/>
        <w:rPr>
          <w:rFonts w:ascii="Cambria" w:hAnsi="Cambria"/>
          <w:color w:val="000000"/>
        </w:rPr>
      </w:pPr>
      <w:r>
        <w:rPr>
          <w:rFonts w:ascii="Cambria" w:hAnsi="Cambria"/>
          <w:color w:val="000000"/>
        </w:rPr>
        <w:t xml:space="preserve">1) </w:t>
      </w:r>
      <w:r w:rsidR="00120A20">
        <w:rPr>
          <w:rFonts w:ascii="Cambria" w:hAnsi="Cambria"/>
          <w:color w:val="000000"/>
        </w:rPr>
        <w:t>Overall,</w:t>
      </w:r>
      <w:r w:rsidR="00676A6A">
        <w:rPr>
          <w:rFonts w:ascii="Cambria" w:hAnsi="Cambria"/>
          <w:color w:val="000000"/>
        </w:rPr>
        <w:t xml:space="preserve"> 1.6% of </w:t>
      </w:r>
      <w:r w:rsidR="00FE5B78">
        <w:rPr>
          <w:rFonts w:ascii="Cambria" w:hAnsi="Cambria"/>
          <w:color w:val="000000"/>
        </w:rPr>
        <w:t>undergraduates in the TDSB-</w:t>
      </w:r>
      <w:r w:rsidR="00676A6A">
        <w:rPr>
          <w:rFonts w:ascii="Cambria" w:hAnsi="Cambria"/>
          <w:color w:val="000000"/>
        </w:rPr>
        <w:t xml:space="preserve">UofT </w:t>
      </w:r>
      <w:r w:rsidR="00FE5B78">
        <w:rPr>
          <w:rFonts w:ascii="Cambria" w:hAnsi="Cambria"/>
          <w:color w:val="000000"/>
        </w:rPr>
        <w:t xml:space="preserve">pathway were </w:t>
      </w:r>
      <w:r w:rsidR="00676A6A">
        <w:rPr>
          <w:rFonts w:ascii="Cambria" w:hAnsi="Cambria"/>
          <w:color w:val="000000"/>
        </w:rPr>
        <w:t>transfer</w:t>
      </w:r>
      <w:r w:rsidR="00FE5B78">
        <w:rPr>
          <w:rFonts w:ascii="Cambria" w:hAnsi="Cambria"/>
          <w:color w:val="000000"/>
        </w:rPr>
        <w:t xml:space="preserve">s </w:t>
      </w:r>
      <w:r w:rsidR="00676A6A">
        <w:rPr>
          <w:rFonts w:ascii="Cambria" w:hAnsi="Cambria"/>
          <w:color w:val="000000"/>
        </w:rPr>
        <w:t>from another postsecondary institution</w:t>
      </w:r>
      <w:r w:rsidR="00120A20">
        <w:rPr>
          <w:rFonts w:ascii="Cambria" w:hAnsi="Cambria"/>
          <w:color w:val="000000"/>
        </w:rPr>
        <w:t xml:space="preserve">; among them, </w:t>
      </w:r>
      <w:r w:rsidR="00676A6A">
        <w:rPr>
          <w:rFonts w:ascii="Cambria" w:hAnsi="Cambria"/>
          <w:color w:val="000000"/>
        </w:rPr>
        <w:t>4</w:t>
      </w:r>
      <w:r w:rsidR="00AC343B">
        <w:rPr>
          <w:rFonts w:ascii="Cambria" w:hAnsi="Cambria"/>
          <w:color w:val="000000"/>
        </w:rPr>
        <w:t>4</w:t>
      </w:r>
      <w:r w:rsidR="00676A6A" w:rsidRPr="00385E6B">
        <w:rPr>
          <w:rFonts w:ascii="Cambria" w:hAnsi="Cambria"/>
          <w:color w:val="000000"/>
        </w:rPr>
        <w:t>% transferred from another Ontario university</w:t>
      </w:r>
      <w:r w:rsidR="00120A20">
        <w:rPr>
          <w:rFonts w:ascii="Cambria" w:hAnsi="Cambria"/>
          <w:color w:val="000000"/>
        </w:rPr>
        <w:t>, 28% were from Ontario community colleges, and the remainder were from other Canadian universities, international universities, and private career colleges</w:t>
      </w:r>
      <w:r w:rsidR="00A52E93">
        <w:rPr>
          <w:rFonts w:ascii="Cambria" w:hAnsi="Cambria"/>
          <w:color w:val="000000"/>
        </w:rPr>
        <w:t>.</w:t>
      </w:r>
    </w:p>
    <w:p w14:paraId="3991C6E4" w14:textId="0A0EC215" w:rsidR="00676A6A" w:rsidRDefault="00120A20" w:rsidP="00120A20">
      <w:pPr>
        <w:pStyle w:val="ListParagraph"/>
        <w:spacing w:after="0"/>
        <w:ind w:left="480"/>
        <w:rPr>
          <w:rFonts w:ascii="Cambria" w:hAnsi="Cambria"/>
          <w:color w:val="000000"/>
        </w:rPr>
      </w:pPr>
      <w:r>
        <w:rPr>
          <w:rFonts w:ascii="Cambria" w:hAnsi="Cambria"/>
          <w:color w:val="000000"/>
        </w:rPr>
        <w:t>2)</w:t>
      </w:r>
      <w:r w:rsidR="00B22EAB">
        <w:rPr>
          <w:rFonts w:ascii="Cambria" w:hAnsi="Cambria"/>
          <w:color w:val="000000"/>
        </w:rPr>
        <w:t xml:space="preserve"> </w:t>
      </w:r>
      <w:r>
        <w:rPr>
          <w:rFonts w:ascii="Cambria" w:hAnsi="Cambria"/>
          <w:color w:val="000000"/>
        </w:rPr>
        <w:t>Most transfers came from Toronto-based universities and colleges</w:t>
      </w:r>
      <w:r w:rsidR="00A52E93">
        <w:rPr>
          <w:rFonts w:ascii="Cambria" w:hAnsi="Cambria"/>
          <w:color w:val="000000"/>
        </w:rPr>
        <w:t>;</w:t>
      </w:r>
      <w:r>
        <w:rPr>
          <w:rFonts w:ascii="Cambria" w:hAnsi="Cambria"/>
          <w:color w:val="000000"/>
        </w:rPr>
        <w:t xml:space="preserve"> the remainder </w:t>
      </w:r>
      <w:r w:rsidR="00A52E93">
        <w:rPr>
          <w:rFonts w:ascii="Cambria" w:hAnsi="Cambria"/>
          <w:color w:val="000000"/>
        </w:rPr>
        <w:t xml:space="preserve">were </w:t>
      </w:r>
      <w:r>
        <w:rPr>
          <w:rFonts w:ascii="Cambria" w:hAnsi="Cambria"/>
          <w:color w:val="000000"/>
        </w:rPr>
        <w:t>mainly from other institutions</w:t>
      </w:r>
      <w:r w:rsidR="00A52E93">
        <w:rPr>
          <w:rFonts w:ascii="Cambria" w:hAnsi="Cambria"/>
          <w:color w:val="000000"/>
        </w:rPr>
        <w:t xml:space="preserve"> </w:t>
      </w:r>
      <w:r>
        <w:rPr>
          <w:rFonts w:ascii="Cambria" w:hAnsi="Cambria"/>
          <w:color w:val="000000"/>
        </w:rPr>
        <w:t>in Southern and Eastern Ontario</w:t>
      </w:r>
    </w:p>
    <w:p w14:paraId="2887E854" w14:textId="2B15E32B" w:rsidR="00676A6A" w:rsidRDefault="00120A20" w:rsidP="00120A20">
      <w:pPr>
        <w:pStyle w:val="ListParagraph"/>
        <w:spacing w:after="0"/>
        <w:ind w:left="480"/>
        <w:rPr>
          <w:rFonts w:ascii="Cambria" w:hAnsi="Cambria"/>
          <w:color w:val="000000"/>
        </w:rPr>
      </w:pPr>
      <w:r>
        <w:rPr>
          <w:rFonts w:ascii="Cambria" w:hAnsi="Cambria"/>
          <w:color w:val="000000"/>
        </w:rPr>
        <w:t xml:space="preserve">3) </w:t>
      </w:r>
      <w:r w:rsidR="00B22EAB">
        <w:rPr>
          <w:rFonts w:ascii="Cambria" w:hAnsi="Cambria"/>
          <w:color w:val="000000"/>
        </w:rPr>
        <w:t>Compared to direct entry students, t</w:t>
      </w:r>
      <w:r w:rsidR="00676A6A">
        <w:rPr>
          <w:rFonts w:ascii="Cambria" w:hAnsi="Cambria"/>
          <w:color w:val="000000"/>
        </w:rPr>
        <w:t>ransfer students</w:t>
      </w:r>
      <w:r w:rsidR="00676A6A" w:rsidRPr="00644E6D">
        <w:rPr>
          <w:rFonts w:ascii="Cambria" w:hAnsi="Cambria"/>
          <w:color w:val="000000"/>
        </w:rPr>
        <w:t xml:space="preserve"> </w:t>
      </w:r>
      <w:r w:rsidR="00B22EAB">
        <w:rPr>
          <w:rFonts w:ascii="Cambria" w:hAnsi="Cambria"/>
          <w:color w:val="000000"/>
        </w:rPr>
        <w:t>were</w:t>
      </w:r>
      <w:r w:rsidR="00560292">
        <w:rPr>
          <w:rFonts w:ascii="Cambria" w:hAnsi="Cambria"/>
          <w:color w:val="000000"/>
        </w:rPr>
        <w:t xml:space="preserve"> significantly</w:t>
      </w:r>
      <w:r w:rsidR="00B22EAB">
        <w:rPr>
          <w:rFonts w:ascii="Cambria" w:hAnsi="Cambria"/>
          <w:color w:val="000000"/>
        </w:rPr>
        <w:t xml:space="preserve"> more likely to speak English as their first language, </w:t>
      </w:r>
      <w:r>
        <w:rPr>
          <w:rFonts w:ascii="Cambria" w:hAnsi="Cambria"/>
          <w:color w:val="000000"/>
        </w:rPr>
        <w:t xml:space="preserve">to </w:t>
      </w:r>
      <w:r w:rsidR="00B22EAB">
        <w:rPr>
          <w:rFonts w:ascii="Cambria" w:hAnsi="Cambria"/>
          <w:color w:val="000000"/>
        </w:rPr>
        <w:t xml:space="preserve">be </w:t>
      </w:r>
      <w:r w:rsidR="006831EA">
        <w:rPr>
          <w:rFonts w:ascii="Cambria" w:hAnsi="Cambria"/>
          <w:color w:val="000000"/>
        </w:rPr>
        <w:t xml:space="preserve">female, </w:t>
      </w:r>
      <w:r w:rsidR="00B22EAB">
        <w:rPr>
          <w:rFonts w:ascii="Cambria" w:hAnsi="Cambria"/>
          <w:color w:val="000000"/>
        </w:rPr>
        <w:t>born in Canada</w:t>
      </w:r>
      <w:r w:rsidR="00676A6A">
        <w:rPr>
          <w:rFonts w:ascii="Cambria" w:hAnsi="Cambria"/>
          <w:color w:val="000000"/>
        </w:rPr>
        <w:t xml:space="preserve"> </w:t>
      </w:r>
      <w:r w:rsidR="00B22EAB">
        <w:rPr>
          <w:rFonts w:ascii="Cambria" w:hAnsi="Cambria"/>
          <w:color w:val="000000"/>
        </w:rPr>
        <w:t xml:space="preserve">and </w:t>
      </w:r>
      <w:r>
        <w:rPr>
          <w:rFonts w:ascii="Cambria" w:hAnsi="Cambria"/>
          <w:color w:val="000000"/>
        </w:rPr>
        <w:t xml:space="preserve">to </w:t>
      </w:r>
      <w:r w:rsidR="00B22EAB">
        <w:rPr>
          <w:rFonts w:ascii="Cambria" w:hAnsi="Cambria"/>
          <w:color w:val="000000"/>
        </w:rPr>
        <w:t>self-identify as ‘white’.  Academically, t</w:t>
      </w:r>
      <w:r w:rsidR="00A52E93">
        <w:rPr>
          <w:rFonts w:ascii="Cambria" w:hAnsi="Cambria"/>
          <w:color w:val="000000"/>
        </w:rPr>
        <w:t xml:space="preserve">hey </w:t>
      </w:r>
      <w:r w:rsidR="00B22EAB">
        <w:rPr>
          <w:rFonts w:ascii="Cambria" w:hAnsi="Cambria"/>
          <w:color w:val="000000"/>
        </w:rPr>
        <w:t xml:space="preserve">had </w:t>
      </w:r>
      <w:r w:rsidR="00560292">
        <w:rPr>
          <w:rFonts w:ascii="Cambria" w:hAnsi="Cambria"/>
          <w:color w:val="000000"/>
        </w:rPr>
        <w:t xml:space="preserve">significantly </w:t>
      </w:r>
      <w:r w:rsidR="00B22EAB">
        <w:rPr>
          <w:rFonts w:ascii="Cambria" w:hAnsi="Cambria"/>
          <w:color w:val="000000"/>
        </w:rPr>
        <w:t xml:space="preserve">lower </w:t>
      </w:r>
      <w:r w:rsidR="00676A6A" w:rsidRPr="006B33DC">
        <w:rPr>
          <w:rFonts w:ascii="Cambria" w:hAnsi="Cambria"/>
          <w:color w:val="000000"/>
        </w:rPr>
        <w:t xml:space="preserve">high school </w:t>
      </w:r>
      <w:r w:rsidR="00B22EAB">
        <w:rPr>
          <w:rFonts w:ascii="Cambria" w:hAnsi="Cambria"/>
          <w:color w:val="000000"/>
        </w:rPr>
        <w:t xml:space="preserve">grades and worse high school attendance </w:t>
      </w:r>
      <w:r w:rsidR="00A52E93">
        <w:rPr>
          <w:rFonts w:ascii="Cambria" w:hAnsi="Cambria"/>
          <w:color w:val="000000"/>
        </w:rPr>
        <w:t xml:space="preserve">than </w:t>
      </w:r>
      <w:r w:rsidR="00676A6A" w:rsidRPr="00385E6B">
        <w:rPr>
          <w:rFonts w:ascii="Cambria" w:hAnsi="Cambria"/>
          <w:color w:val="000000"/>
        </w:rPr>
        <w:t>direct entry students</w:t>
      </w:r>
      <w:r w:rsidR="00B22EAB">
        <w:rPr>
          <w:rFonts w:ascii="Cambria" w:hAnsi="Cambria"/>
          <w:color w:val="000000"/>
        </w:rPr>
        <w:t>. Tr</w:t>
      </w:r>
      <w:r w:rsidR="00676A6A">
        <w:rPr>
          <w:rFonts w:ascii="Cambria" w:hAnsi="Cambria"/>
          <w:color w:val="000000"/>
        </w:rPr>
        <w:t>ansfer</w:t>
      </w:r>
      <w:r w:rsidR="00B22EAB">
        <w:rPr>
          <w:rFonts w:ascii="Cambria" w:hAnsi="Cambria"/>
          <w:color w:val="000000"/>
        </w:rPr>
        <w:t xml:space="preserve">s </w:t>
      </w:r>
      <w:r w:rsidR="00676A6A">
        <w:rPr>
          <w:rFonts w:ascii="Cambria" w:hAnsi="Cambria"/>
          <w:color w:val="000000"/>
        </w:rPr>
        <w:t xml:space="preserve">from </w:t>
      </w:r>
      <w:r w:rsidR="00B22EAB">
        <w:rPr>
          <w:rFonts w:ascii="Cambria" w:hAnsi="Cambria"/>
          <w:color w:val="000000"/>
        </w:rPr>
        <w:t xml:space="preserve">Ontario </w:t>
      </w:r>
      <w:r w:rsidR="00676A6A">
        <w:rPr>
          <w:rFonts w:ascii="Cambria" w:hAnsi="Cambria"/>
          <w:color w:val="000000"/>
        </w:rPr>
        <w:t>c</w:t>
      </w:r>
      <w:r w:rsidR="00676A6A" w:rsidRPr="00385E6B">
        <w:rPr>
          <w:rFonts w:ascii="Cambria" w:hAnsi="Cambria"/>
          <w:color w:val="000000"/>
        </w:rPr>
        <w:t>ommunity college</w:t>
      </w:r>
      <w:r w:rsidR="00676A6A">
        <w:rPr>
          <w:rFonts w:ascii="Cambria" w:hAnsi="Cambria"/>
          <w:color w:val="000000"/>
        </w:rPr>
        <w:t>s</w:t>
      </w:r>
      <w:r w:rsidR="00676A6A" w:rsidRPr="00385E6B">
        <w:rPr>
          <w:rFonts w:ascii="Cambria" w:hAnsi="Cambria"/>
          <w:color w:val="000000"/>
        </w:rPr>
        <w:t xml:space="preserve"> </w:t>
      </w:r>
      <w:r w:rsidR="00B22EAB">
        <w:rPr>
          <w:rFonts w:ascii="Cambria" w:hAnsi="Cambria"/>
          <w:color w:val="000000"/>
        </w:rPr>
        <w:t xml:space="preserve">generally </w:t>
      </w:r>
      <w:r w:rsidR="00676A6A" w:rsidRPr="00385E6B">
        <w:rPr>
          <w:rFonts w:ascii="Cambria" w:hAnsi="Cambria"/>
          <w:color w:val="000000"/>
        </w:rPr>
        <w:t>ha</w:t>
      </w:r>
      <w:r w:rsidR="00676A6A">
        <w:rPr>
          <w:rFonts w:ascii="Cambria" w:hAnsi="Cambria"/>
          <w:color w:val="000000"/>
        </w:rPr>
        <w:t xml:space="preserve">d </w:t>
      </w:r>
      <w:r w:rsidR="00B22EAB">
        <w:rPr>
          <w:rFonts w:ascii="Cambria" w:hAnsi="Cambria"/>
          <w:color w:val="000000"/>
        </w:rPr>
        <w:t xml:space="preserve">the </w:t>
      </w:r>
      <w:r w:rsidR="00676A6A">
        <w:rPr>
          <w:rFonts w:ascii="Cambria" w:hAnsi="Cambria"/>
          <w:color w:val="000000"/>
        </w:rPr>
        <w:t>le</w:t>
      </w:r>
      <w:r w:rsidR="00B22EAB">
        <w:rPr>
          <w:rFonts w:ascii="Cambria" w:hAnsi="Cambria"/>
          <w:color w:val="000000"/>
        </w:rPr>
        <w:t xml:space="preserve">ast </w:t>
      </w:r>
      <w:r w:rsidR="00676A6A">
        <w:rPr>
          <w:rFonts w:ascii="Cambria" w:hAnsi="Cambria"/>
          <w:color w:val="000000"/>
        </w:rPr>
        <w:t>conventional academic records</w:t>
      </w:r>
      <w:r w:rsidR="00560292">
        <w:rPr>
          <w:rFonts w:ascii="Cambria" w:hAnsi="Cambria"/>
          <w:color w:val="000000"/>
        </w:rPr>
        <w:t>.</w:t>
      </w:r>
    </w:p>
    <w:p w14:paraId="4BE58978" w14:textId="01B89F9F" w:rsidR="00E2450F" w:rsidRDefault="00120A20" w:rsidP="00120A20">
      <w:pPr>
        <w:pStyle w:val="ListParagraph"/>
        <w:spacing w:after="0"/>
        <w:ind w:left="480"/>
        <w:rPr>
          <w:rFonts w:ascii="Cambria" w:hAnsi="Cambria"/>
          <w:color w:val="000000"/>
        </w:rPr>
      </w:pPr>
      <w:r>
        <w:rPr>
          <w:rFonts w:ascii="Cambria" w:hAnsi="Cambria"/>
          <w:color w:val="000000"/>
        </w:rPr>
        <w:t xml:space="preserve">4) Almost all </w:t>
      </w:r>
      <w:r w:rsidR="00A52E93">
        <w:rPr>
          <w:rFonts w:ascii="Cambria" w:hAnsi="Cambria"/>
          <w:color w:val="000000"/>
        </w:rPr>
        <w:t>transfer</w:t>
      </w:r>
      <w:r w:rsidR="006831EA">
        <w:rPr>
          <w:rFonts w:ascii="Cambria" w:hAnsi="Cambria"/>
          <w:color w:val="000000"/>
        </w:rPr>
        <w:t>s</w:t>
      </w:r>
      <w:r w:rsidR="00A52E93">
        <w:rPr>
          <w:rFonts w:ascii="Cambria" w:hAnsi="Cambria"/>
          <w:color w:val="000000"/>
        </w:rPr>
        <w:t xml:space="preserve"> </w:t>
      </w:r>
      <w:r w:rsidR="00E2450F">
        <w:rPr>
          <w:rFonts w:ascii="Cambria" w:hAnsi="Cambria"/>
          <w:color w:val="000000"/>
        </w:rPr>
        <w:t xml:space="preserve">from universities </w:t>
      </w:r>
      <w:r>
        <w:rPr>
          <w:rFonts w:ascii="Cambria" w:hAnsi="Cambria"/>
          <w:color w:val="000000"/>
        </w:rPr>
        <w:t>were awarded transfer c</w:t>
      </w:r>
      <w:r w:rsidR="00E2450F">
        <w:rPr>
          <w:rFonts w:ascii="Cambria" w:hAnsi="Cambria"/>
          <w:color w:val="000000"/>
        </w:rPr>
        <w:t>redits</w:t>
      </w:r>
      <w:r>
        <w:rPr>
          <w:rFonts w:ascii="Cambria" w:hAnsi="Cambria"/>
          <w:color w:val="000000"/>
        </w:rPr>
        <w:t>, receiving 4.7 credits on average</w:t>
      </w:r>
      <w:r w:rsidR="00E2450F">
        <w:rPr>
          <w:rFonts w:ascii="Cambria" w:hAnsi="Cambria"/>
          <w:color w:val="000000"/>
        </w:rPr>
        <w:t>; most transfer</w:t>
      </w:r>
      <w:r w:rsidR="00A52E93">
        <w:rPr>
          <w:rFonts w:ascii="Cambria" w:hAnsi="Cambria"/>
          <w:color w:val="000000"/>
        </w:rPr>
        <w:t xml:space="preserve">s </w:t>
      </w:r>
      <w:r w:rsidR="00E2450F">
        <w:rPr>
          <w:rFonts w:ascii="Cambria" w:hAnsi="Cambria"/>
          <w:color w:val="000000"/>
        </w:rPr>
        <w:t>from community colleges also received credits,</w:t>
      </w:r>
      <w:r>
        <w:rPr>
          <w:rFonts w:ascii="Cambria" w:hAnsi="Cambria"/>
          <w:color w:val="000000"/>
        </w:rPr>
        <w:t xml:space="preserve"> receiving 2.6 </w:t>
      </w:r>
      <w:r w:rsidR="00E2450F">
        <w:rPr>
          <w:rFonts w:ascii="Cambria" w:hAnsi="Cambria"/>
          <w:color w:val="000000"/>
        </w:rPr>
        <w:t xml:space="preserve">credits </w:t>
      </w:r>
      <w:r>
        <w:rPr>
          <w:rFonts w:ascii="Cambria" w:hAnsi="Cambria"/>
          <w:color w:val="000000"/>
        </w:rPr>
        <w:t>on average</w:t>
      </w:r>
      <w:r w:rsidR="00E2450F">
        <w:rPr>
          <w:rFonts w:ascii="Cambria" w:hAnsi="Cambria"/>
          <w:color w:val="000000"/>
        </w:rPr>
        <w:t>; none of the small number of transfer</w:t>
      </w:r>
      <w:r>
        <w:rPr>
          <w:rFonts w:ascii="Cambria" w:hAnsi="Cambria"/>
          <w:color w:val="000000"/>
        </w:rPr>
        <w:t xml:space="preserve">s </w:t>
      </w:r>
      <w:r w:rsidR="00E2450F">
        <w:rPr>
          <w:rFonts w:ascii="Cambria" w:hAnsi="Cambria"/>
          <w:color w:val="000000"/>
        </w:rPr>
        <w:t>from private career colleges received credits</w:t>
      </w:r>
      <w:r w:rsidR="00A52E93">
        <w:rPr>
          <w:rFonts w:ascii="Cambria" w:hAnsi="Cambria"/>
          <w:color w:val="000000"/>
        </w:rPr>
        <w:t>.</w:t>
      </w:r>
    </w:p>
    <w:p w14:paraId="482FF129" w14:textId="604C485A" w:rsidR="00AC3652" w:rsidRDefault="00120A20" w:rsidP="00120A20">
      <w:pPr>
        <w:pStyle w:val="ListParagraph"/>
        <w:spacing w:after="0"/>
        <w:ind w:left="480"/>
        <w:rPr>
          <w:rFonts w:ascii="Cambria" w:hAnsi="Cambria"/>
          <w:color w:val="000000"/>
        </w:rPr>
      </w:pPr>
      <w:r>
        <w:rPr>
          <w:rFonts w:ascii="Cambria" w:hAnsi="Cambria"/>
          <w:color w:val="000000"/>
        </w:rPr>
        <w:t xml:space="preserve">5) </w:t>
      </w:r>
      <w:r w:rsidR="00AC3652">
        <w:rPr>
          <w:rFonts w:ascii="Cambria" w:hAnsi="Cambria"/>
          <w:color w:val="000000"/>
        </w:rPr>
        <w:t xml:space="preserve">While transfers from universities were less likely to enter STEM fields at UofT than were direct entry students, they had similar cumulative grade point averages, total credits earned, and graduation rates. Transfers from community colleges were also less likely to </w:t>
      </w:r>
      <w:r w:rsidR="00AC3652" w:rsidRPr="006B33DC">
        <w:rPr>
          <w:rFonts w:ascii="Cambria" w:hAnsi="Cambria"/>
          <w:color w:val="000000"/>
        </w:rPr>
        <w:t>ent</w:t>
      </w:r>
      <w:r w:rsidR="00AC3652">
        <w:rPr>
          <w:rFonts w:ascii="Cambria" w:hAnsi="Cambria"/>
          <w:color w:val="000000"/>
        </w:rPr>
        <w:t xml:space="preserve">er </w:t>
      </w:r>
      <w:r w:rsidR="00AC3652" w:rsidRPr="006B33DC">
        <w:rPr>
          <w:rFonts w:ascii="Cambria" w:hAnsi="Cambria"/>
          <w:color w:val="000000"/>
        </w:rPr>
        <w:t>STEM</w:t>
      </w:r>
      <w:r w:rsidR="00AC3652">
        <w:rPr>
          <w:rFonts w:ascii="Cambria" w:hAnsi="Cambria"/>
          <w:color w:val="000000"/>
        </w:rPr>
        <w:t xml:space="preserve"> fields of study, but also earned fewer total credits and ha</w:t>
      </w:r>
      <w:r w:rsidR="00A52E93">
        <w:rPr>
          <w:rFonts w:ascii="Cambria" w:hAnsi="Cambria"/>
          <w:color w:val="000000"/>
        </w:rPr>
        <w:t>d</w:t>
      </w:r>
      <w:r w:rsidR="00AC3652">
        <w:rPr>
          <w:rFonts w:ascii="Cambria" w:hAnsi="Cambria"/>
          <w:color w:val="000000"/>
        </w:rPr>
        <w:t xml:space="preserve"> </w:t>
      </w:r>
      <w:r w:rsidR="00560292">
        <w:rPr>
          <w:rFonts w:ascii="Cambria" w:hAnsi="Cambria"/>
          <w:color w:val="000000"/>
        </w:rPr>
        <w:t>significantly lower graduation rates.</w:t>
      </w:r>
      <w:r w:rsidR="00AC3652">
        <w:rPr>
          <w:rFonts w:ascii="Cambria" w:hAnsi="Cambria"/>
          <w:color w:val="000000"/>
        </w:rPr>
        <w:t xml:space="preserve"> </w:t>
      </w:r>
      <w:r w:rsidR="00AC3652">
        <w:rPr>
          <w:rFonts w:ascii="Cambria" w:hAnsi="Cambria"/>
          <w:color w:val="000000"/>
        </w:rPr>
        <w:lastRenderedPageBreak/>
        <w:t xml:space="preserve">Just over half of community college transfers graduated within the timelines of the study. Their lower graduation rates were driven largely by their weaker </w:t>
      </w:r>
      <w:r w:rsidR="00AC3652" w:rsidRPr="00560292">
        <w:rPr>
          <w:rFonts w:ascii="Cambria" w:hAnsi="Cambria"/>
          <w:color w:val="000000"/>
        </w:rPr>
        <w:t>academic records in high school</w:t>
      </w:r>
      <w:r w:rsidR="00AC3652">
        <w:rPr>
          <w:rFonts w:ascii="Cambria" w:hAnsi="Cambria"/>
          <w:color w:val="000000"/>
        </w:rPr>
        <w:t xml:space="preserve"> and fewer transfer credits awarded.</w:t>
      </w:r>
    </w:p>
    <w:p w14:paraId="33E3AC09" w14:textId="77777777" w:rsidR="006831EA" w:rsidRDefault="00AC3652" w:rsidP="00AC3652">
      <w:pPr>
        <w:pStyle w:val="ListParagraph"/>
        <w:spacing w:after="0"/>
        <w:ind w:left="480"/>
        <w:rPr>
          <w:rFonts w:ascii="Cambria" w:hAnsi="Cambria"/>
          <w:color w:val="000000"/>
        </w:rPr>
      </w:pPr>
      <w:r>
        <w:rPr>
          <w:rFonts w:ascii="Cambria" w:hAnsi="Cambria"/>
          <w:color w:val="000000"/>
        </w:rPr>
        <w:t xml:space="preserve">6) Having greater numbers of </w:t>
      </w:r>
      <w:r w:rsidRPr="00E2450F">
        <w:rPr>
          <w:rFonts w:ascii="Cambria" w:hAnsi="Cambria"/>
          <w:color w:val="000000"/>
        </w:rPr>
        <w:t>transfer credits</w:t>
      </w:r>
      <w:r>
        <w:rPr>
          <w:rFonts w:ascii="Cambria" w:hAnsi="Cambria"/>
          <w:color w:val="000000"/>
        </w:rPr>
        <w:t xml:space="preserve"> </w:t>
      </w:r>
      <w:r w:rsidRPr="00E2450F">
        <w:rPr>
          <w:rFonts w:ascii="Cambria" w:hAnsi="Cambria"/>
          <w:color w:val="000000"/>
        </w:rPr>
        <w:t>awarded boost</w:t>
      </w:r>
      <w:r>
        <w:rPr>
          <w:rFonts w:ascii="Cambria" w:hAnsi="Cambria"/>
          <w:color w:val="000000"/>
        </w:rPr>
        <w:t>ed</w:t>
      </w:r>
      <w:r w:rsidRPr="00E2450F">
        <w:rPr>
          <w:rFonts w:ascii="Cambria" w:hAnsi="Cambria"/>
          <w:color w:val="000000"/>
        </w:rPr>
        <w:t xml:space="preserve"> outcomes among </w:t>
      </w:r>
      <w:r>
        <w:rPr>
          <w:rFonts w:ascii="Cambria" w:hAnsi="Cambria"/>
          <w:color w:val="000000"/>
        </w:rPr>
        <w:t xml:space="preserve">all </w:t>
      </w:r>
      <w:r w:rsidRPr="00E2450F">
        <w:rPr>
          <w:rFonts w:ascii="Cambria" w:hAnsi="Cambria"/>
          <w:color w:val="000000"/>
        </w:rPr>
        <w:t>students</w:t>
      </w:r>
      <w:r>
        <w:rPr>
          <w:rFonts w:ascii="Cambria" w:hAnsi="Cambria"/>
          <w:color w:val="000000"/>
        </w:rPr>
        <w:t>. Statistical models predict</w:t>
      </w:r>
      <w:r w:rsidR="00A52E93">
        <w:rPr>
          <w:rFonts w:ascii="Cambria" w:hAnsi="Cambria"/>
          <w:color w:val="000000"/>
        </w:rPr>
        <w:t>ed</w:t>
      </w:r>
      <w:r>
        <w:rPr>
          <w:rFonts w:ascii="Cambria" w:hAnsi="Cambria"/>
          <w:color w:val="000000"/>
        </w:rPr>
        <w:t xml:space="preserve"> that if community college transfers had greater numbers</w:t>
      </w:r>
      <w:r w:rsidRPr="00E2450F">
        <w:rPr>
          <w:rFonts w:ascii="Cambria" w:hAnsi="Cambria"/>
          <w:color w:val="000000"/>
        </w:rPr>
        <w:t xml:space="preserve"> </w:t>
      </w:r>
      <w:r>
        <w:rPr>
          <w:rFonts w:ascii="Cambria" w:hAnsi="Cambria"/>
          <w:color w:val="000000"/>
        </w:rPr>
        <w:t xml:space="preserve">of credits awarded they could narrow graduation gaps between themselves and other students. </w:t>
      </w:r>
    </w:p>
    <w:p w14:paraId="32391A77" w14:textId="77777777" w:rsidR="006831EA" w:rsidRDefault="006831EA" w:rsidP="00AC3652">
      <w:pPr>
        <w:pStyle w:val="ListParagraph"/>
        <w:spacing w:after="0"/>
        <w:ind w:left="480"/>
        <w:rPr>
          <w:rFonts w:ascii="Cambria" w:hAnsi="Cambria"/>
          <w:color w:val="000000"/>
        </w:rPr>
      </w:pPr>
    </w:p>
    <w:p w14:paraId="437064DD" w14:textId="14454775" w:rsidR="006831EA" w:rsidRDefault="006831EA" w:rsidP="006831EA">
      <w:pPr>
        <w:pStyle w:val="ListParagraph"/>
        <w:spacing w:after="0"/>
        <w:ind w:left="0"/>
        <w:rPr>
          <w:rFonts w:ascii="Cambria" w:hAnsi="Cambria"/>
          <w:color w:val="000000"/>
        </w:rPr>
      </w:pPr>
      <w:r>
        <w:rPr>
          <w:rFonts w:ascii="Cambria" w:hAnsi="Cambria"/>
          <w:color w:val="000000"/>
        </w:rPr>
        <w:tab/>
        <w:t>Key differences in findings between this study and the previous TDSB-UofT study are traced to a key methodological issue: namely, that data sources can detect greater proportions of transfers and academic gaps between direct entry and transfer students if they track larger numbers of</w:t>
      </w:r>
      <w:r w:rsidRPr="00452F75">
        <w:rPr>
          <w:rFonts w:ascii="Cambria" w:hAnsi="Cambria"/>
          <w:color w:val="000000"/>
        </w:rPr>
        <w:t xml:space="preserve"> </w:t>
      </w:r>
      <w:r>
        <w:rPr>
          <w:rFonts w:ascii="Cambria" w:hAnsi="Cambria"/>
          <w:color w:val="000000"/>
        </w:rPr>
        <w:t xml:space="preserve">students who were geographically mobile during high school. The reason is that those students in turn are more prone to become postsecondary transfers and to have checkered high school academic records.  </w:t>
      </w:r>
    </w:p>
    <w:p w14:paraId="79DBAED2" w14:textId="77777777" w:rsidR="006831EA" w:rsidRPr="00560292" w:rsidRDefault="006831EA" w:rsidP="00AC3652">
      <w:pPr>
        <w:pStyle w:val="ListParagraph"/>
        <w:spacing w:after="0"/>
        <w:ind w:left="480"/>
        <w:rPr>
          <w:rFonts w:ascii="Cambria" w:hAnsi="Cambria"/>
          <w:color w:val="000000"/>
        </w:rPr>
      </w:pPr>
    </w:p>
    <w:p w14:paraId="0EAEC0D9" w14:textId="4F95A34A" w:rsidR="003F1AA4" w:rsidRDefault="00452F75">
      <w:pPr>
        <w:spacing w:after="0"/>
        <w:ind w:left="120"/>
        <w:rPr>
          <w:rFonts w:ascii="Cambria" w:hAnsi="Cambria"/>
          <w:color w:val="000000"/>
        </w:rPr>
      </w:pPr>
      <w:r>
        <w:rPr>
          <w:rFonts w:ascii="Cambria" w:hAnsi="Cambria"/>
          <w:color w:val="000000"/>
        </w:rPr>
        <w:tab/>
        <w:t xml:space="preserve">Using these findings, two </w:t>
      </w:r>
      <w:r w:rsidR="006831EA">
        <w:rPr>
          <w:rFonts w:ascii="Cambria" w:hAnsi="Cambria"/>
          <w:color w:val="000000"/>
        </w:rPr>
        <w:t>polic</w:t>
      </w:r>
      <w:r>
        <w:rPr>
          <w:rFonts w:ascii="Cambria" w:hAnsi="Cambria"/>
          <w:color w:val="000000"/>
        </w:rPr>
        <w:t>ies</w:t>
      </w:r>
      <w:r w:rsidRPr="00452F75">
        <w:rPr>
          <w:rFonts w:ascii="Cambria" w:hAnsi="Cambria"/>
          <w:color w:val="000000"/>
        </w:rPr>
        <w:t xml:space="preserve"> </w:t>
      </w:r>
      <w:r>
        <w:rPr>
          <w:rFonts w:ascii="Cambria" w:hAnsi="Cambria"/>
          <w:color w:val="000000"/>
        </w:rPr>
        <w:t>aimed at improving university outcomes for transfer students</w:t>
      </w:r>
      <w:r w:rsidR="006831EA">
        <w:rPr>
          <w:rFonts w:ascii="Cambria" w:hAnsi="Cambria"/>
          <w:color w:val="000000"/>
        </w:rPr>
        <w:t>, and one direction for future research</w:t>
      </w:r>
      <w:r>
        <w:rPr>
          <w:rFonts w:ascii="Cambria" w:hAnsi="Cambria"/>
          <w:color w:val="000000"/>
        </w:rPr>
        <w:t xml:space="preserve"> are </w:t>
      </w:r>
      <w:r w:rsidR="006831EA">
        <w:rPr>
          <w:rFonts w:ascii="Cambria" w:hAnsi="Cambria"/>
          <w:color w:val="000000"/>
        </w:rPr>
        <w:t>discussed</w:t>
      </w:r>
      <w:r>
        <w:rPr>
          <w:rFonts w:ascii="Cambria" w:hAnsi="Cambria"/>
          <w:color w:val="000000"/>
        </w:rPr>
        <w:t xml:space="preserve">. First, universities should be encouraged to </w:t>
      </w:r>
      <w:r w:rsidR="0034366E">
        <w:rPr>
          <w:rFonts w:ascii="Cambria" w:hAnsi="Cambria"/>
          <w:color w:val="000000"/>
        </w:rPr>
        <w:t>further develop</w:t>
      </w:r>
      <w:r>
        <w:rPr>
          <w:rFonts w:ascii="Cambria" w:hAnsi="Cambria"/>
          <w:color w:val="000000"/>
        </w:rPr>
        <w:t xml:space="preserve"> mechanisms </w:t>
      </w:r>
      <w:r w:rsidR="0034366E">
        <w:rPr>
          <w:rFonts w:ascii="Cambria" w:hAnsi="Cambria"/>
          <w:color w:val="000000"/>
        </w:rPr>
        <w:t xml:space="preserve">for </w:t>
      </w:r>
      <w:r>
        <w:rPr>
          <w:rFonts w:ascii="Cambria" w:hAnsi="Cambria"/>
          <w:color w:val="000000"/>
        </w:rPr>
        <w:t>grant</w:t>
      </w:r>
      <w:r w:rsidR="0034366E">
        <w:rPr>
          <w:rFonts w:ascii="Cambria" w:hAnsi="Cambria"/>
          <w:color w:val="000000"/>
        </w:rPr>
        <w:t>ing</w:t>
      </w:r>
      <w:r>
        <w:rPr>
          <w:rFonts w:ascii="Cambria" w:hAnsi="Cambria"/>
          <w:color w:val="000000"/>
        </w:rPr>
        <w:t xml:space="preserve"> transfer credits while </w:t>
      </w:r>
      <w:r w:rsidR="006831EA">
        <w:rPr>
          <w:rFonts w:ascii="Cambria" w:hAnsi="Cambria"/>
          <w:color w:val="000000"/>
        </w:rPr>
        <w:t>maintain</w:t>
      </w:r>
      <w:r>
        <w:rPr>
          <w:rFonts w:ascii="Cambria" w:hAnsi="Cambria"/>
          <w:color w:val="000000"/>
        </w:rPr>
        <w:t>ing their academic integrity</w:t>
      </w:r>
      <w:r w:rsidR="006831EA">
        <w:rPr>
          <w:rFonts w:ascii="Cambria" w:hAnsi="Cambria"/>
          <w:color w:val="000000"/>
        </w:rPr>
        <w:t xml:space="preserve"> at the same time</w:t>
      </w:r>
      <w:r>
        <w:rPr>
          <w:rFonts w:ascii="Cambria" w:hAnsi="Cambria"/>
          <w:color w:val="000000"/>
        </w:rPr>
        <w:t xml:space="preserve">. Second, </w:t>
      </w:r>
      <w:r w:rsidR="0034366E">
        <w:rPr>
          <w:rFonts w:ascii="Cambria" w:hAnsi="Cambria"/>
          <w:color w:val="000000"/>
        </w:rPr>
        <w:t xml:space="preserve">since </w:t>
      </w:r>
      <w:r>
        <w:rPr>
          <w:rFonts w:ascii="Cambria" w:hAnsi="Cambria"/>
          <w:color w:val="000000"/>
        </w:rPr>
        <w:t>gaps in outcomes between community college transfers and other students can be partly attributed to the former’s lesser academic preparation, universities should consider bolstering their academic supports for transfer students</w:t>
      </w:r>
      <w:r w:rsidR="0034366E">
        <w:rPr>
          <w:rFonts w:ascii="Cambria" w:hAnsi="Cambria"/>
          <w:color w:val="000000"/>
        </w:rPr>
        <w:t xml:space="preserve">, such as </w:t>
      </w:r>
      <w:r>
        <w:rPr>
          <w:rFonts w:ascii="Cambria" w:hAnsi="Cambria"/>
          <w:color w:val="000000"/>
        </w:rPr>
        <w:t>remedial opportunities, mentoring and related programs.</w:t>
      </w:r>
      <w:r w:rsidR="006831EA">
        <w:rPr>
          <w:rFonts w:ascii="Cambria" w:hAnsi="Cambria"/>
          <w:color w:val="000000"/>
        </w:rPr>
        <w:t xml:space="preserve"> Finally, this report calls for future research that involve data merges among multiple institutions.</w:t>
      </w:r>
    </w:p>
    <w:p w14:paraId="4C1FEAB3" w14:textId="77777777" w:rsidR="004C26E0" w:rsidRDefault="004C26E0">
      <w:pPr>
        <w:rPr>
          <w:rFonts w:ascii="Cambria" w:hAnsi="Cambria"/>
          <w:color w:val="000000"/>
        </w:rPr>
      </w:pPr>
      <w:r>
        <w:rPr>
          <w:rFonts w:ascii="Cambria" w:hAnsi="Cambria"/>
          <w:color w:val="000000"/>
        </w:rPr>
        <w:br w:type="page"/>
      </w:r>
    </w:p>
    <w:p w14:paraId="00591878" w14:textId="7F7BBE26" w:rsidR="00F14699" w:rsidRDefault="00F14699">
      <w:pPr>
        <w:spacing w:after="0"/>
        <w:ind w:left="120"/>
        <w:rPr>
          <w:rFonts w:ascii="Cambria" w:hAnsi="Cambria"/>
          <w:color w:val="000000"/>
        </w:rPr>
      </w:pPr>
    </w:p>
    <w:p w14:paraId="3334266E" w14:textId="636E95B1" w:rsidR="00F5332B" w:rsidRDefault="009238FB" w:rsidP="00511DF2">
      <w:pPr>
        <w:spacing w:after="0"/>
        <w:ind w:left="120"/>
        <w:jc w:val="center"/>
        <w:rPr>
          <w:rFonts w:ascii="Cambria" w:hAnsi="Cambria"/>
          <w:b/>
          <w:color w:val="000000"/>
        </w:rPr>
      </w:pPr>
      <w:r>
        <w:rPr>
          <w:rFonts w:ascii="Cambria" w:hAnsi="Cambria"/>
          <w:b/>
          <w:color w:val="000000"/>
        </w:rPr>
        <w:t xml:space="preserve">Introduction: Purpose of this </w:t>
      </w:r>
      <w:r w:rsidR="0069593D">
        <w:rPr>
          <w:rFonts w:ascii="Cambria" w:hAnsi="Cambria"/>
          <w:b/>
          <w:color w:val="000000"/>
        </w:rPr>
        <w:t xml:space="preserve">Second </w:t>
      </w:r>
      <w:r>
        <w:rPr>
          <w:rFonts w:ascii="Cambria" w:hAnsi="Cambria"/>
          <w:b/>
          <w:color w:val="000000"/>
        </w:rPr>
        <w:t>Report</w:t>
      </w:r>
    </w:p>
    <w:p w14:paraId="3BA0318D" w14:textId="305575FB" w:rsidR="000355CC" w:rsidRDefault="000355CC">
      <w:pPr>
        <w:spacing w:after="0"/>
        <w:ind w:left="120"/>
        <w:rPr>
          <w:rFonts w:ascii="Cambria" w:hAnsi="Cambria"/>
          <w:color w:val="000000"/>
        </w:rPr>
      </w:pPr>
      <w:r>
        <w:rPr>
          <w:rFonts w:ascii="Cambria" w:hAnsi="Cambria"/>
          <w:color w:val="000000"/>
        </w:rPr>
        <w:tab/>
      </w:r>
      <w:r w:rsidR="008C796B">
        <w:rPr>
          <w:rFonts w:ascii="Cambria" w:hAnsi="Cambria"/>
          <w:color w:val="000000"/>
        </w:rPr>
        <w:t xml:space="preserve">As noted in my previous report, transfer students are difficult to study since by definition they are geographically mobile and take </w:t>
      </w:r>
      <w:r w:rsidR="00F5332B">
        <w:rPr>
          <w:rFonts w:ascii="Cambria" w:hAnsi="Cambria"/>
          <w:color w:val="000000"/>
        </w:rPr>
        <w:t>meander</w:t>
      </w:r>
      <w:r w:rsidR="008C796B">
        <w:rPr>
          <w:rFonts w:ascii="Cambria" w:hAnsi="Cambria"/>
          <w:color w:val="000000"/>
        </w:rPr>
        <w:t>ing</w:t>
      </w:r>
      <w:r w:rsidR="0069593D">
        <w:rPr>
          <w:rFonts w:ascii="Cambria" w:hAnsi="Cambria"/>
          <w:color w:val="000000"/>
        </w:rPr>
        <w:t xml:space="preserve"> </w:t>
      </w:r>
      <w:r w:rsidR="00F5332B">
        <w:rPr>
          <w:rFonts w:ascii="Cambria" w:hAnsi="Cambria"/>
          <w:color w:val="000000"/>
        </w:rPr>
        <w:t>paths</w:t>
      </w:r>
      <w:r w:rsidR="0069593D">
        <w:rPr>
          <w:rFonts w:ascii="Cambria" w:hAnsi="Cambria"/>
          <w:color w:val="000000"/>
        </w:rPr>
        <w:t xml:space="preserve"> through </w:t>
      </w:r>
      <w:r w:rsidR="00F5332B">
        <w:rPr>
          <w:rFonts w:ascii="Cambria" w:hAnsi="Cambria"/>
          <w:color w:val="000000"/>
        </w:rPr>
        <w:t>high school</w:t>
      </w:r>
      <w:r w:rsidR="008C796B">
        <w:rPr>
          <w:rFonts w:ascii="Cambria" w:hAnsi="Cambria"/>
          <w:color w:val="000000"/>
        </w:rPr>
        <w:t>s</w:t>
      </w:r>
      <w:r w:rsidR="00F5332B">
        <w:rPr>
          <w:rFonts w:ascii="Cambria" w:hAnsi="Cambria"/>
          <w:color w:val="000000"/>
        </w:rPr>
        <w:t xml:space="preserve"> </w:t>
      </w:r>
      <w:r w:rsidR="0069593D">
        <w:rPr>
          <w:rFonts w:ascii="Cambria" w:hAnsi="Cambria"/>
          <w:color w:val="000000"/>
        </w:rPr>
        <w:t xml:space="preserve">and </w:t>
      </w:r>
      <w:r w:rsidR="008C796B">
        <w:rPr>
          <w:rFonts w:ascii="Cambria" w:hAnsi="Cambria"/>
          <w:color w:val="000000"/>
        </w:rPr>
        <w:t xml:space="preserve">into </w:t>
      </w:r>
      <w:r w:rsidR="00F5332B">
        <w:rPr>
          <w:rFonts w:ascii="Cambria" w:hAnsi="Cambria"/>
          <w:color w:val="000000"/>
        </w:rPr>
        <w:t xml:space="preserve">postsecondary </w:t>
      </w:r>
      <w:r w:rsidR="00967618">
        <w:rPr>
          <w:rFonts w:ascii="Cambria" w:hAnsi="Cambria"/>
          <w:color w:val="000000"/>
        </w:rPr>
        <w:t>institutions</w:t>
      </w:r>
      <w:r w:rsidR="0069593D">
        <w:rPr>
          <w:rFonts w:ascii="Cambria" w:hAnsi="Cambria"/>
          <w:color w:val="000000"/>
        </w:rPr>
        <w:t xml:space="preserve">. Many students take </w:t>
      </w:r>
      <w:r w:rsidR="00F5332B">
        <w:rPr>
          <w:rFonts w:ascii="Cambria" w:hAnsi="Cambria"/>
          <w:color w:val="000000"/>
        </w:rPr>
        <w:t>lengthy periods of time</w:t>
      </w:r>
      <w:r w:rsidR="0069593D">
        <w:rPr>
          <w:rFonts w:ascii="Cambria" w:hAnsi="Cambria"/>
          <w:color w:val="000000"/>
        </w:rPr>
        <w:t xml:space="preserve"> </w:t>
      </w:r>
      <w:r w:rsidR="00F5332B">
        <w:rPr>
          <w:rFonts w:ascii="Cambria" w:hAnsi="Cambria"/>
          <w:color w:val="000000"/>
        </w:rPr>
        <w:t xml:space="preserve">with multiple stops and re-starts. </w:t>
      </w:r>
      <w:r w:rsidR="0069593D">
        <w:rPr>
          <w:rFonts w:ascii="Cambria" w:hAnsi="Cambria"/>
          <w:color w:val="000000"/>
        </w:rPr>
        <w:t xml:space="preserve"> </w:t>
      </w:r>
      <w:r w:rsidR="008C796B">
        <w:rPr>
          <w:rFonts w:ascii="Cambria" w:hAnsi="Cambria"/>
          <w:color w:val="000000"/>
        </w:rPr>
        <w:t>To f</w:t>
      </w:r>
      <w:r w:rsidR="00F5332B">
        <w:rPr>
          <w:rFonts w:ascii="Cambria" w:hAnsi="Cambria"/>
          <w:color w:val="000000"/>
        </w:rPr>
        <w:t>ac</w:t>
      </w:r>
      <w:r w:rsidR="008C796B">
        <w:rPr>
          <w:rFonts w:ascii="Cambria" w:hAnsi="Cambria"/>
          <w:color w:val="000000"/>
        </w:rPr>
        <w:t>e</w:t>
      </w:r>
      <w:r w:rsidR="00F5332B">
        <w:rPr>
          <w:rFonts w:ascii="Cambria" w:hAnsi="Cambria"/>
          <w:color w:val="000000"/>
        </w:rPr>
        <w:t xml:space="preserve"> these </w:t>
      </w:r>
      <w:r w:rsidR="0069593D">
        <w:rPr>
          <w:rFonts w:ascii="Cambria" w:hAnsi="Cambria"/>
          <w:color w:val="000000"/>
        </w:rPr>
        <w:t>challenges</w:t>
      </w:r>
      <w:r w:rsidR="00F5332B">
        <w:rPr>
          <w:rFonts w:ascii="Cambria" w:hAnsi="Cambria"/>
          <w:color w:val="000000"/>
        </w:rPr>
        <w:t xml:space="preserve">, many researchers </w:t>
      </w:r>
      <w:r w:rsidR="00FA3A8D">
        <w:rPr>
          <w:rFonts w:ascii="Cambria" w:hAnsi="Cambria"/>
          <w:color w:val="000000"/>
        </w:rPr>
        <w:t>have turned</w:t>
      </w:r>
      <w:r w:rsidR="00F5332B">
        <w:rPr>
          <w:rFonts w:ascii="Cambria" w:hAnsi="Cambria"/>
          <w:color w:val="000000"/>
        </w:rPr>
        <w:t xml:space="preserve"> to administrative data</w:t>
      </w:r>
      <w:r w:rsidR="0069593D">
        <w:rPr>
          <w:rFonts w:ascii="Cambria" w:hAnsi="Cambria"/>
          <w:color w:val="000000"/>
        </w:rPr>
        <w:t xml:space="preserve"> to </w:t>
      </w:r>
      <w:r w:rsidR="00F00593">
        <w:rPr>
          <w:rFonts w:ascii="Cambria" w:hAnsi="Cambria"/>
          <w:color w:val="000000"/>
        </w:rPr>
        <w:t>track students</w:t>
      </w:r>
      <w:r w:rsidR="00FA3A8D">
        <w:rPr>
          <w:rFonts w:ascii="Cambria" w:hAnsi="Cambria"/>
          <w:color w:val="000000"/>
        </w:rPr>
        <w:t xml:space="preserve"> </w:t>
      </w:r>
      <w:r w:rsidR="00F00593">
        <w:rPr>
          <w:rFonts w:ascii="Cambria" w:hAnsi="Cambria"/>
          <w:color w:val="000000"/>
        </w:rPr>
        <w:t>o</w:t>
      </w:r>
      <w:r w:rsidR="00072F96">
        <w:rPr>
          <w:rFonts w:ascii="Cambria" w:hAnsi="Cambria"/>
          <w:color w:val="000000"/>
        </w:rPr>
        <w:t>ver</w:t>
      </w:r>
      <w:r w:rsidR="00FA3A8D">
        <w:rPr>
          <w:rFonts w:ascii="Cambria" w:hAnsi="Cambria"/>
          <w:color w:val="000000"/>
        </w:rPr>
        <w:t xml:space="preserve"> </w:t>
      </w:r>
      <w:r w:rsidR="00072F96">
        <w:rPr>
          <w:rFonts w:ascii="Cambria" w:hAnsi="Cambria"/>
          <w:color w:val="000000"/>
        </w:rPr>
        <w:t>several years</w:t>
      </w:r>
      <w:r w:rsidR="0069593D">
        <w:rPr>
          <w:rFonts w:ascii="Cambria" w:hAnsi="Cambria"/>
          <w:color w:val="000000"/>
        </w:rPr>
        <w:t xml:space="preserve"> while at the same time</w:t>
      </w:r>
      <w:r w:rsidR="00FA3A8D">
        <w:rPr>
          <w:rFonts w:ascii="Cambria" w:hAnsi="Cambria"/>
          <w:color w:val="000000"/>
        </w:rPr>
        <w:t xml:space="preserve"> provid</w:t>
      </w:r>
      <w:r w:rsidR="0069593D">
        <w:rPr>
          <w:rFonts w:ascii="Cambria" w:hAnsi="Cambria"/>
          <w:color w:val="000000"/>
        </w:rPr>
        <w:t xml:space="preserve">ing </w:t>
      </w:r>
      <w:r w:rsidR="00F5332B">
        <w:rPr>
          <w:rFonts w:ascii="Cambria" w:hAnsi="Cambria"/>
          <w:color w:val="000000"/>
        </w:rPr>
        <w:t>popul</w:t>
      </w:r>
      <w:r w:rsidR="00072F96">
        <w:rPr>
          <w:rFonts w:ascii="Cambria" w:hAnsi="Cambria"/>
          <w:color w:val="000000"/>
        </w:rPr>
        <w:t>ation-level coverage</w:t>
      </w:r>
      <w:r w:rsidR="009238FB">
        <w:rPr>
          <w:rFonts w:ascii="Cambria" w:hAnsi="Cambria"/>
          <w:color w:val="000000"/>
        </w:rPr>
        <w:t xml:space="preserve">. </w:t>
      </w:r>
    </w:p>
    <w:p w14:paraId="227DC370" w14:textId="77777777" w:rsidR="000355CC" w:rsidRDefault="000355CC">
      <w:pPr>
        <w:spacing w:after="0"/>
        <w:ind w:left="120"/>
        <w:rPr>
          <w:rFonts w:ascii="Cambria" w:hAnsi="Cambria"/>
          <w:color w:val="000000"/>
        </w:rPr>
      </w:pPr>
    </w:p>
    <w:p w14:paraId="79A6637E" w14:textId="77777777" w:rsidR="00A53B3B" w:rsidRDefault="00F00593">
      <w:pPr>
        <w:spacing w:after="0"/>
        <w:ind w:left="120"/>
        <w:rPr>
          <w:rFonts w:ascii="Cambria" w:hAnsi="Cambria"/>
          <w:color w:val="000000"/>
        </w:rPr>
      </w:pPr>
      <w:r>
        <w:rPr>
          <w:rFonts w:ascii="Cambria" w:hAnsi="Cambria"/>
          <w:color w:val="000000"/>
        </w:rPr>
        <w:tab/>
      </w:r>
      <w:r w:rsidR="0069593D">
        <w:rPr>
          <w:rFonts w:ascii="Cambria" w:hAnsi="Cambria"/>
          <w:color w:val="000000"/>
        </w:rPr>
        <w:t xml:space="preserve">My first </w:t>
      </w:r>
      <w:r>
        <w:rPr>
          <w:rFonts w:ascii="Cambria" w:hAnsi="Cambria"/>
          <w:color w:val="000000"/>
        </w:rPr>
        <w:t xml:space="preserve">study </w:t>
      </w:r>
      <w:r w:rsidR="008C796B">
        <w:rPr>
          <w:rFonts w:ascii="Cambria" w:hAnsi="Cambria"/>
          <w:color w:val="000000"/>
        </w:rPr>
        <w:t xml:space="preserve">linked </w:t>
      </w:r>
      <w:r w:rsidR="002D43A8">
        <w:rPr>
          <w:rFonts w:ascii="Cambria" w:hAnsi="Cambria"/>
          <w:color w:val="000000"/>
        </w:rPr>
        <w:t xml:space="preserve">high quality data </w:t>
      </w:r>
      <w:r w:rsidR="008C796B">
        <w:rPr>
          <w:rFonts w:ascii="Cambria" w:hAnsi="Cambria"/>
          <w:color w:val="000000"/>
        </w:rPr>
        <w:t xml:space="preserve">to </w:t>
      </w:r>
      <w:r w:rsidR="0062033D">
        <w:rPr>
          <w:rFonts w:ascii="Cambria" w:hAnsi="Cambria"/>
          <w:color w:val="000000"/>
        </w:rPr>
        <w:t>c</w:t>
      </w:r>
      <w:r w:rsidR="00F96751">
        <w:rPr>
          <w:rFonts w:ascii="Cambria" w:hAnsi="Cambria"/>
          <w:color w:val="000000"/>
        </w:rPr>
        <w:t>over</w:t>
      </w:r>
      <w:r w:rsidR="0062033D">
        <w:rPr>
          <w:rFonts w:ascii="Cambria" w:hAnsi="Cambria"/>
          <w:color w:val="000000"/>
        </w:rPr>
        <w:t xml:space="preserve"> </w:t>
      </w:r>
      <w:r w:rsidR="00F96751">
        <w:rPr>
          <w:rFonts w:ascii="Cambria" w:hAnsi="Cambria"/>
          <w:color w:val="000000"/>
        </w:rPr>
        <w:t>an entire population of students from Canada’s most trafficked educational pathway</w:t>
      </w:r>
      <w:r w:rsidR="002D43A8">
        <w:rPr>
          <w:rFonts w:ascii="Cambria" w:hAnsi="Cambria"/>
          <w:color w:val="000000"/>
        </w:rPr>
        <w:t xml:space="preserve"> - </w:t>
      </w:r>
      <w:r w:rsidR="00F96751">
        <w:rPr>
          <w:rFonts w:ascii="Cambria" w:hAnsi="Cambria"/>
          <w:color w:val="000000"/>
        </w:rPr>
        <w:t>that between the T</w:t>
      </w:r>
      <w:r w:rsidR="002D43A8">
        <w:rPr>
          <w:rFonts w:ascii="Cambria" w:hAnsi="Cambria"/>
          <w:color w:val="000000"/>
        </w:rPr>
        <w:t xml:space="preserve">oronto </w:t>
      </w:r>
      <w:r w:rsidR="00F96751">
        <w:rPr>
          <w:rFonts w:ascii="Cambria" w:hAnsi="Cambria"/>
          <w:color w:val="000000"/>
        </w:rPr>
        <w:t>D</w:t>
      </w:r>
      <w:r w:rsidR="002D43A8">
        <w:rPr>
          <w:rFonts w:ascii="Cambria" w:hAnsi="Cambria"/>
          <w:color w:val="000000"/>
        </w:rPr>
        <w:t xml:space="preserve">istrict </w:t>
      </w:r>
      <w:r w:rsidR="00F96751">
        <w:rPr>
          <w:rFonts w:ascii="Cambria" w:hAnsi="Cambria"/>
          <w:color w:val="000000"/>
        </w:rPr>
        <w:t>S</w:t>
      </w:r>
      <w:r w:rsidR="002D43A8">
        <w:rPr>
          <w:rFonts w:ascii="Cambria" w:hAnsi="Cambria"/>
          <w:color w:val="000000"/>
        </w:rPr>
        <w:t xml:space="preserve">chool </w:t>
      </w:r>
      <w:r w:rsidR="00F96751">
        <w:rPr>
          <w:rFonts w:ascii="Cambria" w:hAnsi="Cambria"/>
          <w:color w:val="000000"/>
        </w:rPr>
        <w:t>B</w:t>
      </w:r>
      <w:r w:rsidR="002D43A8">
        <w:rPr>
          <w:rFonts w:ascii="Cambria" w:hAnsi="Cambria"/>
          <w:color w:val="000000"/>
        </w:rPr>
        <w:t>oard (TDSB)</w:t>
      </w:r>
      <w:r w:rsidR="00F96751">
        <w:rPr>
          <w:rFonts w:ascii="Cambria" w:hAnsi="Cambria"/>
          <w:color w:val="000000"/>
        </w:rPr>
        <w:t xml:space="preserve"> and </w:t>
      </w:r>
      <w:r w:rsidR="002D43A8">
        <w:rPr>
          <w:rFonts w:ascii="Cambria" w:hAnsi="Cambria"/>
          <w:color w:val="000000"/>
        </w:rPr>
        <w:t xml:space="preserve">the </w:t>
      </w:r>
      <w:r w:rsidR="00F96751">
        <w:rPr>
          <w:rFonts w:ascii="Cambria" w:hAnsi="Cambria"/>
          <w:color w:val="000000"/>
        </w:rPr>
        <w:t>U</w:t>
      </w:r>
      <w:r w:rsidR="002D43A8">
        <w:rPr>
          <w:rFonts w:ascii="Cambria" w:hAnsi="Cambria"/>
          <w:color w:val="000000"/>
        </w:rPr>
        <w:t xml:space="preserve">niversity </w:t>
      </w:r>
      <w:r w:rsidR="00F96751">
        <w:rPr>
          <w:rFonts w:ascii="Cambria" w:hAnsi="Cambria"/>
          <w:color w:val="000000"/>
        </w:rPr>
        <w:t>of</w:t>
      </w:r>
      <w:r w:rsidR="002D43A8">
        <w:rPr>
          <w:rFonts w:ascii="Cambria" w:hAnsi="Cambria"/>
          <w:color w:val="000000"/>
        </w:rPr>
        <w:t xml:space="preserve"> </w:t>
      </w:r>
      <w:r w:rsidR="00F96751">
        <w:rPr>
          <w:rFonts w:ascii="Cambria" w:hAnsi="Cambria"/>
          <w:color w:val="000000"/>
        </w:rPr>
        <w:t>T</w:t>
      </w:r>
      <w:r w:rsidR="002D43A8">
        <w:rPr>
          <w:rFonts w:ascii="Cambria" w:hAnsi="Cambria"/>
          <w:color w:val="000000"/>
        </w:rPr>
        <w:t>oronto (UofT)</w:t>
      </w:r>
      <w:r w:rsidR="00F96751">
        <w:rPr>
          <w:rFonts w:ascii="Cambria" w:hAnsi="Cambria"/>
          <w:color w:val="000000"/>
        </w:rPr>
        <w:t>. It track</w:t>
      </w:r>
      <w:r w:rsidR="0062033D">
        <w:rPr>
          <w:rFonts w:ascii="Cambria" w:hAnsi="Cambria"/>
          <w:color w:val="000000"/>
        </w:rPr>
        <w:t>ed</w:t>
      </w:r>
      <w:r w:rsidR="00F96751">
        <w:rPr>
          <w:rFonts w:ascii="Cambria" w:hAnsi="Cambria"/>
          <w:color w:val="000000"/>
        </w:rPr>
        <w:t xml:space="preserve"> </w:t>
      </w:r>
      <w:r w:rsidR="008C796B">
        <w:rPr>
          <w:rFonts w:ascii="Cambria" w:hAnsi="Cambria"/>
          <w:color w:val="000000"/>
        </w:rPr>
        <w:t xml:space="preserve">cohorts of </w:t>
      </w:r>
      <w:r w:rsidR="00F96751">
        <w:rPr>
          <w:rFonts w:ascii="Cambria" w:hAnsi="Cambria"/>
          <w:color w:val="000000"/>
        </w:rPr>
        <w:t xml:space="preserve">students </w:t>
      </w:r>
      <w:r w:rsidR="002D43A8">
        <w:rPr>
          <w:rFonts w:ascii="Cambria" w:hAnsi="Cambria"/>
          <w:color w:val="000000"/>
        </w:rPr>
        <w:t xml:space="preserve">for </w:t>
      </w:r>
      <w:r w:rsidR="00A80AF8">
        <w:rPr>
          <w:rFonts w:ascii="Cambria" w:hAnsi="Cambria"/>
          <w:color w:val="000000"/>
        </w:rPr>
        <w:t>8</w:t>
      </w:r>
      <w:r w:rsidR="0080747C">
        <w:rPr>
          <w:rFonts w:ascii="Cambria" w:hAnsi="Cambria"/>
          <w:color w:val="000000"/>
        </w:rPr>
        <w:t>-</w:t>
      </w:r>
      <w:r w:rsidR="00F96751">
        <w:rPr>
          <w:rFonts w:ascii="Cambria" w:hAnsi="Cambria"/>
          <w:color w:val="000000"/>
        </w:rPr>
        <w:t xml:space="preserve">18 years, </w:t>
      </w:r>
      <w:r w:rsidR="002D43A8">
        <w:rPr>
          <w:rFonts w:ascii="Cambria" w:hAnsi="Cambria"/>
          <w:color w:val="000000"/>
        </w:rPr>
        <w:t xml:space="preserve">thereby </w:t>
      </w:r>
      <w:r w:rsidR="0080747C">
        <w:rPr>
          <w:rFonts w:ascii="Cambria" w:hAnsi="Cambria"/>
          <w:color w:val="000000"/>
        </w:rPr>
        <w:t>captur</w:t>
      </w:r>
      <w:r w:rsidR="008C796B">
        <w:rPr>
          <w:rFonts w:ascii="Cambria" w:hAnsi="Cambria"/>
          <w:color w:val="000000"/>
        </w:rPr>
        <w:t xml:space="preserve">ing many that </w:t>
      </w:r>
      <w:r w:rsidR="002D43A8">
        <w:rPr>
          <w:rFonts w:ascii="Cambria" w:hAnsi="Cambria"/>
          <w:color w:val="000000"/>
        </w:rPr>
        <w:t>drop</w:t>
      </w:r>
      <w:r w:rsidR="0062033D">
        <w:rPr>
          <w:rFonts w:ascii="Cambria" w:hAnsi="Cambria"/>
          <w:color w:val="000000"/>
        </w:rPr>
        <w:t xml:space="preserve">ped </w:t>
      </w:r>
      <w:r w:rsidR="0080747C">
        <w:rPr>
          <w:rFonts w:ascii="Cambria" w:hAnsi="Cambria"/>
          <w:color w:val="000000"/>
        </w:rPr>
        <w:t>out and later re-ente</w:t>
      </w:r>
      <w:r w:rsidR="0062033D">
        <w:rPr>
          <w:rFonts w:ascii="Cambria" w:hAnsi="Cambria"/>
          <w:color w:val="000000"/>
        </w:rPr>
        <w:t>red</w:t>
      </w:r>
      <w:r w:rsidR="00F96751">
        <w:rPr>
          <w:rFonts w:ascii="Cambria" w:hAnsi="Cambria"/>
          <w:color w:val="000000"/>
        </w:rPr>
        <w:t xml:space="preserve"> high school, t</w:t>
      </w:r>
      <w:r w:rsidR="0062033D">
        <w:rPr>
          <w:rFonts w:ascii="Cambria" w:hAnsi="Cambria"/>
          <w:color w:val="000000"/>
        </w:rPr>
        <w:t>oo</w:t>
      </w:r>
      <w:r w:rsidR="0080747C">
        <w:rPr>
          <w:rFonts w:ascii="Cambria" w:hAnsi="Cambria"/>
          <w:color w:val="000000"/>
        </w:rPr>
        <w:t>k gap years</w:t>
      </w:r>
      <w:r w:rsidR="002D43A8">
        <w:rPr>
          <w:rFonts w:ascii="Cambria" w:hAnsi="Cambria"/>
          <w:color w:val="000000"/>
        </w:rPr>
        <w:t xml:space="preserve"> between high school and postsecondary</w:t>
      </w:r>
      <w:r w:rsidR="0080747C">
        <w:rPr>
          <w:rFonts w:ascii="Cambria" w:hAnsi="Cambria"/>
          <w:color w:val="000000"/>
        </w:rPr>
        <w:t>, and enter</w:t>
      </w:r>
      <w:r w:rsidR="0062033D">
        <w:rPr>
          <w:rFonts w:ascii="Cambria" w:hAnsi="Cambria"/>
          <w:color w:val="000000"/>
        </w:rPr>
        <w:t>ed</w:t>
      </w:r>
      <w:r w:rsidR="0080747C">
        <w:rPr>
          <w:rFonts w:ascii="Cambria" w:hAnsi="Cambria"/>
          <w:color w:val="000000"/>
        </w:rPr>
        <w:t>, exit</w:t>
      </w:r>
      <w:r w:rsidR="0062033D">
        <w:rPr>
          <w:rFonts w:ascii="Cambria" w:hAnsi="Cambria"/>
          <w:color w:val="000000"/>
        </w:rPr>
        <w:t>ed</w:t>
      </w:r>
      <w:r w:rsidR="0080747C">
        <w:rPr>
          <w:rFonts w:ascii="Cambria" w:hAnsi="Cambria"/>
          <w:color w:val="000000"/>
        </w:rPr>
        <w:t xml:space="preserve"> and re-enter</w:t>
      </w:r>
      <w:r w:rsidR="0062033D">
        <w:rPr>
          <w:rFonts w:ascii="Cambria" w:hAnsi="Cambria"/>
          <w:color w:val="000000"/>
        </w:rPr>
        <w:t>ed</w:t>
      </w:r>
      <w:r w:rsidR="0080747C">
        <w:rPr>
          <w:rFonts w:ascii="Cambria" w:hAnsi="Cambria"/>
          <w:color w:val="000000"/>
        </w:rPr>
        <w:t xml:space="preserve"> higher education</w:t>
      </w:r>
      <w:r w:rsidR="002D43A8">
        <w:rPr>
          <w:rFonts w:ascii="Cambria" w:hAnsi="Cambria"/>
          <w:color w:val="000000"/>
        </w:rPr>
        <w:t xml:space="preserve">. </w:t>
      </w:r>
      <w:r w:rsidR="0062033D">
        <w:rPr>
          <w:rFonts w:ascii="Cambria" w:hAnsi="Cambria"/>
          <w:color w:val="000000"/>
        </w:rPr>
        <w:t>It used a record of students’ previous institution to detect transfer students</w:t>
      </w:r>
      <w:r w:rsidR="008C796B">
        <w:rPr>
          <w:rFonts w:ascii="Cambria" w:hAnsi="Cambria"/>
          <w:color w:val="000000"/>
        </w:rPr>
        <w:t xml:space="preserve">. It </w:t>
      </w:r>
      <w:r w:rsidR="005A5F08">
        <w:rPr>
          <w:rFonts w:ascii="Cambria" w:hAnsi="Cambria"/>
          <w:color w:val="000000"/>
        </w:rPr>
        <w:t>improve</w:t>
      </w:r>
      <w:r w:rsidR="0062033D">
        <w:rPr>
          <w:rFonts w:ascii="Cambria" w:hAnsi="Cambria"/>
          <w:color w:val="000000"/>
        </w:rPr>
        <w:t>d</w:t>
      </w:r>
      <w:r w:rsidR="005A5F08">
        <w:rPr>
          <w:rFonts w:ascii="Cambria" w:hAnsi="Cambria"/>
          <w:color w:val="000000"/>
        </w:rPr>
        <w:t xml:space="preserve"> upon </w:t>
      </w:r>
      <w:r w:rsidR="008C796B">
        <w:rPr>
          <w:rFonts w:ascii="Cambria" w:hAnsi="Cambria"/>
          <w:color w:val="000000"/>
        </w:rPr>
        <w:t>the u</w:t>
      </w:r>
      <w:r w:rsidR="005A5F08">
        <w:rPr>
          <w:rFonts w:ascii="Cambria" w:hAnsi="Cambria"/>
          <w:color w:val="000000"/>
        </w:rPr>
        <w:t>se of credit transfer flag</w:t>
      </w:r>
      <w:r w:rsidR="008C796B">
        <w:rPr>
          <w:rFonts w:ascii="Cambria" w:hAnsi="Cambria"/>
          <w:color w:val="000000"/>
        </w:rPr>
        <w:t>s</w:t>
      </w:r>
      <w:r w:rsidR="005A5F08">
        <w:rPr>
          <w:rFonts w:ascii="Cambria" w:hAnsi="Cambria"/>
          <w:color w:val="000000"/>
        </w:rPr>
        <w:t xml:space="preserve"> on student transcripts to detect transfer, </w:t>
      </w:r>
      <w:r w:rsidR="0062033D">
        <w:rPr>
          <w:rFonts w:ascii="Cambria" w:hAnsi="Cambria"/>
          <w:color w:val="000000"/>
        </w:rPr>
        <w:t xml:space="preserve">since that </w:t>
      </w:r>
      <w:r w:rsidR="005A5F08">
        <w:rPr>
          <w:rFonts w:ascii="Cambria" w:hAnsi="Cambria"/>
          <w:color w:val="000000"/>
        </w:rPr>
        <w:t>method neglect</w:t>
      </w:r>
      <w:r w:rsidR="00370710">
        <w:rPr>
          <w:rFonts w:ascii="Cambria" w:hAnsi="Cambria"/>
          <w:color w:val="000000"/>
        </w:rPr>
        <w:t>s</w:t>
      </w:r>
      <w:r w:rsidR="005A5F08">
        <w:rPr>
          <w:rFonts w:ascii="Cambria" w:hAnsi="Cambria"/>
          <w:color w:val="000000"/>
        </w:rPr>
        <w:t xml:space="preserve"> other varieties of transfer students, such as those who did not receive transfer credits, those from universities outside of Ontario and those from various colleges. </w:t>
      </w:r>
      <w:r w:rsidR="007E4DA2">
        <w:rPr>
          <w:rFonts w:ascii="Cambria" w:hAnsi="Cambria"/>
          <w:color w:val="000000"/>
        </w:rPr>
        <w:t xml:space="preserve"> </w:t>
      </w:r>
    </w:p>
    <w:p w14:paraId="6A57B003" w14:textId="77777777" w:rsidR="00A53B3B" w:rsidRDefault="00A53B3B">
      <w:pPr>
        <w:spacing w:after="0"/>
        <w:ind w:left="120"/>
        <w:rPr>
          <w:rFonts w:ascii="Cambria" w:hAnsi="Cambria"/>
          <w:color w:val="000000"/>
        </w:rPr>
      </w:pPr>
    </w:p>
    <w:p w14:paraId="702DB143" w14:textId="028E3770" w:rsidR="00F14699" w:rsidRPr="00385E6B" w:rsidRDefault="00A53B3B">
      <w:pPr>
        <w:spacing w:after="0"/>
        <w:ind w:left="120"/>
        <w:rPr>
          <w:rFonts w:ascii="Cambria" w:hAnsi="Cambria"/>
          <w:color w:val="000000"/>
        </w:rPr>
      </w:pPr>
      <w:r>
        <w:rPr>
          <w:rFonts w:ascii="Cambria" w:hAnsi="Cambria"/>
          <w:color w:val="000000"/>
        </w:rPr>
        <w:tab/>
      </w:r>
      <w:r w:rsidR="007E4DA2">
        <w:rPr>
          <w:rFonts w:ascii="Cambria" w:hAnsi="Cambria"/>
          <w:color w:val="000000"/>
        </w:rPr>
        <w:t xml:space="preserve">This </w:t>
      </w:r>
      <w:r>
        <w:rPr>
          <w:rFonts w:ascii="Cambria" w:hAnsi="Cambria"/>
          <w:color w:val="000000"/>
        </w:rPr>
        <w:t xml:space="preserve">new </w:t>
      </w:r>
      <w:r w:rsidR="007E4DA2">
        <w:rPr>
          <w:rFonts w:ascii="Cambria" w:hAnsi="Cambria"/>
          <w:color w:val="000000"/>
        </w:rPr>
        <w:t xml:space="preserve">study </w:t>
      </w:r>
      <w:r w:rsidR="0062033D">
        <w:rPr>
          <w:rFonts w:ascii="Cambria" w:hAnsi="Cambria"/>
          <w:color w:val="000000"/>
        </w:rPr>
        <w:t>improves further on those methods</w:t>
      </w:r>
      <w:r w:rsidR="006E10D9">
        <w:rPr>
          <w:rFonts w:ascii="Cambria" w:hAnsi="Cambria"/>
          <w:color w:val="000000"/>
        </w:rPr>
        <w:t>, while examining a different slice of students in the UofT-TDSB pathway</w:t>
      </w:r>
      <w:r>
        <w:rPr>
          <w:rFonts w:ascii="Cambria" w:hAnsi="Cambria"/>
          <w:color w:val="000000"/>
        </w:rPr>
        <w:t>. I</w:t>
      </w:r>
      <w:r w:rsidR="0062033D">
        <w:rPr>
          <w:rFonts w:ascii="Cambria" w:hAnsi="Cambria"/>
          <w:color w:val="000000"/>
        </w:rPr>
        <w:t xml:space="preserve">t uses students’ previous institution to detect a variety of transfer students, while also containing the transfer flag and a measure of the number of transfer credits awarded by the University of Toronto. </w:t>
      </w:r>
      <w:r w:rsidR="006E10D9">
        <w:rPr>
          <w:rFonts w:ascii="Cambria" w:hAnsi="Cambria"/>
          <w:color w:val="000000"/>
        </w:rPr>
        <w:t xml:space="preserve">However, the new study design captures a different segment of the student population and thus finds some different trends in processes of transfer. </w:t>
      </w:r>
      <w:r w:rsidR="007E4DA2">
        <w:rPr>
          <w:rFonts w:ascii="Cambria" w:hAnsi="Cambria"/>
          <w:color w:val="000000"/>
        </w:rPr>
        <w:t>T</w:t>
      </w:r>
      <w:r w:rsidR="00A46DA3">
        <w:rPr>
          <w:rFonts w:ascii="Cambria" w:hAnsi="Cambria"/>
          <w:color w:val="000000"/>
        </w:rPr>
        <w:t xml:space="preserve">he </w:t>
      </w:r>
      <w:r w:rsidR="00295C1A">
        <w:rPr>
          <w:rFonts w:ascii="Cambria" w:hAnsi="Cambria"/>
          <w:color w:val="000000"/>
        </w:rPr>
        <w:t>follow</w:t>
      </w:r>
      <w:r w:rsidR="007E4DA2">
        <w:rPr>
          <w:rFonts w:ascii="Cambria" w:hAnsi="Cambria"/>
          <w:color w:val="000000"/>
        </w:rPr>
        <w:t>ing</w:t>
      </w:r>
      <w:r w:rsidR="00A46DA3">
        <w:rPr>
          <w:rFonts w:ascii="Cambria" w:hAnsi="Cambria"/>
          <w:color w:val="000000"/>
        </w:rPr>
        <w:t xml:space="preserve"> </w:t>
      </w:r>
      <w:r w:rsidR="00295C1A">
        <w:rPr>
          <w:rFonts w:ascii="Cambria" w:hAnsi="Cambria"/>
          <w:color w:val="000000"/>
        </w:rPr>
        <w:t>s</w:t>
      </w:r>
      <w:r w:rsidR="007E4DA2">
        <w:rPr>
          <w:rFonts w:ascii="Cambria" w:hAnsi="Cambria"/>
          <w:color w:val="000000"/>
        </w:rPr>
        <w:t>ections</w:t>
      </w:r>
      <w:r w:rsidR="00A46DA3">
        <w:rPr>
          <w:rFonts w:ascii="Cambria" w:hAnsi="Cambria"/>
          <w:color w:val="000000"/>
        </w:rPr>
        <w:t xml:space="preserve"> describe this study’s</w:t>
      </w:r>
      <w:r w:rsidR="00295C1A">
        <w:rPr>
          <w:rFonts w:ascii="Cambria" w:hAnsi="Cambria"/>
          <w:color w:val="000000"/>
        </w:rPr>
        <w:t xml:space="preserve"> research questions, data and </w:t>
      </w:r>
      <w:r w:rsidR="00A46DA3">
        <w:rPr>
          <w:rFonts w:ascii="Cambria" w:hAnsi="Cambria"/>
          <w:color w:val="000000"/>
        </w:rPr>
        <w:t xml:space="preserve">major </w:t>
      </w:r>
      <w:r w:rsidR="00295C1A">
        <w:rPr>
          <w:rFonts w:ascii="Cambria" w:hAnsi="Cambria"/>
          <w:color w:val="000000"/>
        </w:rPr>
        <w:t>findings.</w:t>
      </w:r>
    </w:p>
    <w:p w14:paraId="23F648C9" w14:textId="77777777" w:rsidR="00511DF2" w:rsidRDefault="00511DF2">
      <w:pPr>
        <w:spacing w:after="0"/>
        <w:ind w:left="120"/>
        <w:rPr>
          <w:rFonts w:ascii="Cambria" w:hAnsi="Cambria"/>
          <w:b/>
          <w:color w:val="000000"/>
        </w:rPr>
      </w:pPr>
    </w:p>
    <w:p w14:paraId="3A52FACC" w14:textId="77777777" w:rsidR="00F14699" w:rsidRDefault="009238FB" w:rsidP="00511DF2">
      <w:pPr>
        <w:spacing w:after="0"/>
        <w:ind w:left="120"/>
        <w:jc w:val="center"/>
      </w:pPr>
      <w:r>
        <w:rPr>
          <w:rFonts w:ascii="Cambria" w:hAnsi="Cambria"/>
          <w:b/>
          <w:color w:val="000000"/>
        </w:rPr>
        <w:t>Research Questions</w:t>
      </w:r>
      <w:r>
        <w:rPr>
          <w:rFonts w:ascii="Cambria" w:hAnsi="Cambria"/>
          <w:color w:val="000000"/>
        </w:rPr>
        <w:t>:</w:t>
      </w:r>
    </w:p>
    <w:p w14:paraId="1C6C2B4B" w14:textId="70A3B7AD" w:rsidR="00F14699" w:rsidRDefault="00F00593">
      <w:pPr>
        <w:spacing w:after="0"/>
        <w:ind w:left="120"/>
      </w:pPr>
      <w:r>
        <w:rPr>
          <w:rFonts w:ascii="Cambria" w:hAnsi="Cambria"/>
          <w:color w:val="000000"/>
        </w:rPr>
        <w:tab/>
      </w:r>
      <w:r w:rsidR="009238FB">
        <w:rPr>
          <w:rFonts w:ascii="Cambria" w:hAnsi="Cambria"/>
          <w:color w:val="000000"/>
        </w:rPr>
        <w:t>Th</w:t>
      </w:r>
      <w:r w:rsidR="006E10D9">
        <w:rPr>
          <w:rFonts w:ascii="Cambria" w:hAnsi="Cambria"/>
          <w:color w:val="000000"/>
        </w:rPr>
        <w:t xml:space="preserve">is report </w:t>
      </w:r>
      <w:r w:rsidR="009238FB">
        <w:rPr>
          <w:rFonts w:ascii="Cambria" w:hAnsi="Cambria"/>
          <w:color w:val="000000"/>
        </w:rPr>
        <w:t>address</w:t>
      </w:r>
      <w:r w:rsidR="006E10D9">
        <w:rPr>
          <w:rFonts w:ascii="Cambria" w:hAnsi="Cambria"/>
          <w:color w:val="000000"/>
        </w:rPr>
        <w:t>es</w:t>
      </w:r>
      <w:r w:rsidR="009238FB">
        <w:rPr>
          <w:rFonts w:ascii="Cambria" w:hAnsi="Cambria"/>
          <w:color w:val="000000"/>
        </w:rPr>
        <w:t xml:space="preserve"> </w:t>
      </w:r>
      <w:r w:rsidR="004A4A75">
        <w:rPr>
          <w:rFonts w:ascii="Cambria" w:hAnsi="Cambria"/>
          <w:color w:val="000000"/>
        </w:rPr>
        <w:t>several</w:t>
      </w:r>
      <w:r w:rsidR="009238FB">
        <w:rPr>
          <w:rFonts w:ascii="Cambria" w:hAnsi="Cambria"/>
          <w:color w:val="000000"/>
        </w:rPr>
        <w:t xml:space="preserve"> related questions:</w:t>
      </w:r>
      <w:r w:rsidR="006E10D9" w:rsidRPr="006E10D9">
        <w:rPr>
          <w:rFonts w:ascii="Cambria" w:hAnsi="Cambria"/>
          <w:color w:val="000000"/>
        </w:rPr>
        <w:t xml:space="preserve"> </w:t>
      </w:r>
      <w:r w:rsidR="006E10D9">
        <w:rPr>
          <w:rFonts w:ascii="Cambria" w:hAnsi="Cambria"/>
          <w:color w:val="000000"/>
        </w:rPr>
        <w:t>1) What is the overall proportion of transfer students among undergraduates in the TDSB-UofT pathway? 2) From which institutions do they transfer into UofT? 3) Do transfer and direct entry students differ in their demographics and high school academic profiles? 4) How many transfer students are awarded some credits at UofT for previous course work, and how many credits did they receive? 5) Do transfer and direct entry students differ in their academic outcomes at UofT, and 6) Do transfer credits awarded influence those outcomes?</w:t>
      </w:r>
    </w:p>
    <w:p w14:paraId="7CC5A526" w14:textId="413A3FD9" w:rsidR="00511DF2" w:rsidRDefault="00511DF2">
      <w:pPr>
        <w:spacing w:after="0"/>
        <w:ind w:left="120"/>
        <w:rPr>
          <w:rFonts w:ascii="Cambria" w:hAnsi="Cambria"/>
          <w:b/>
          <w:color w:val="000000"/>
        </w:rPr>
      </w:pPr>
    </w:p>
    <w:p w14:paraId="455D98E4" w14:textId="77777777" w:rsidR="00F14699" w:rsidRDefault="009238FB" w:rsidP="00511DF2">
      <w:pPr>
        <w:spacing w:after="0"/>
        <w:ind w:left="120"/>
        <w:jc w:val="center"/>
      </w:pPr>
      <w:r>
        <w:rPr>
          <w:rFonts w:ascii="Cambria" w:hAnsi="Cambria"/>
          <w:b/>
          <w:color w:val="000000"/>
        </w:rPr>
        <w:t>Data and Methods</w:t>
      </w:r>
      <w:r>
        <w:rPr>
          <w:rFonts w:ascii="Cambria" w:hAnsi="Cambria"/>
          <w:color w:val="000000"/>
        </w:rPr>
        <w:t>:</w:t>
      </w:r>
    </w:p>
    <w:p w14:paraId="7C5AC4C9" w14:textId="7692350C" w:rsidR="00194B92" w:rsidRDefault="009238FB">
      <w:pPr>
        <w:spacing w:after="0"/>
        <w:ind w:left="120"/>
        <w:rPr>
          <w:rFonts w:ascii="Cambria" w:hAnsi="Cambria"/>
          <w:color w:val="000000"/>
        </w:rPr>
      </w:pPr>
      <w:r w:rsidRPr="00067AC3">
        <w:rPr>
          <w:rFonts w:ascii="Cambria" w:hAnsi="Cambria"/>
          <w:b/>
          <w:color w:val="000000"/>
        </w:rPr>
        <w:t>Data Sources</w:t>
      </w:r>
      <w:r>
        <w:rPr>
          <w:rFonts w:ascii="Cambria" w:hAnsi="Cambria"/>
          <w:color w:val="000000"/>
        </w:rPr>
        <w:t>:</w:t>
      </w:r>
      <w:r w:rsidR="00F70358">
        <w:t xml:space="preserve"> </w:t>
      </w:r>
      <w:r w:rsidR="006E10D9">
        <w:rPr>
          <w:rFonts w:ascii="Cambria" w:hAnsi="Cambria"/>
          <w:color w:val="000000"/>
        </w:rPr>
        <w:t>As in the previous report, the d</w:t>
      </w:r>
      <w:r>
        <w:rPr>
          <w:rFonts w:ascii="Cambria" w:hAnsi="Cambria"/>
          <w:color w:val="000000"/>
        </w:rPr>
        <w:t>ata</w:t>
      </w:r>
      <w:r w:rsidR="006E10D9">
        <w:rPr>
          <w:rFonts w:ascii="Cambria" w:hAnsi="Cambria"/>
          <w:color w:val="000000"/>
        </w:rPr>
        <w:t>set</w:t>
      </w:r>
      <w:r>
        <w:rPr>
          <w:rFonts w:ascii="Cambria" w:hAnsi="Cambria"/>
          <w:color w:val="000000"/>
        </w:rPr>
        <w:t xml:space="preserve"> </w:t>
      </w:r>
      <w:r w:rsidR="006E10D9">
        <w:rPr>
          <w:rFonts w:ascii="Cambria" w:hAnsi="Cambria"/>
          <w:color w:val="000000"/>
        </w:rPr>
        <w:t xml:space="preserve">used in this current study </w:t>
      </w:r>
      <w:r>
        <w:rPr>
          <w:rFonts w:ascii="Cambria" w:hAnsi="Cambria"/>
          <w:color w:val="000000"/>
        </w:rPr>
        <w:t>come from a</w:t>
      </w:r>
      <w:r w:rsidR="00C572D6">
        <w:rPr>
          <w:rFonts w:ascii="Cambria" w:hAnsi="Cambria"/>
          <w:color w:val="000000"/>
        </w:rPr>
        <w:t>n extended</w:t>
      </w:r>
      <w:r>
        <w:rPr>
          <w:rFonts w:ascii="Cambria" w:hAnsi="Cambria"/>
          <w:color w:val="000000"/>
        </w:rPr>
        <w:t xml:space="preserve"> partnership between the</w:t>
      </w:r>
      <w:r w:rsidR="000A73EE">
        <w:rPr>
          <w:rFonts w:ascii="Cambria" w:hAnsi="Cambria"/>
          <w:color w:val="000000"/>
        </w:rPr>
        <w:t xml:space="preserve"> </w:t>
      </w:r>
      <w:r>
        <w:rPr>
          <w:rFonts w:ascii="Cambria" w:hAnsi="Cambria"/>
          <w:color w:val="000000"/>
        </w:rPr>
        <w:t>TDSB, Canada’s largest</w:t>
      </w:r>
      <w:r w:rsidR="000A73EE">
        <w:rPr>
          <w:rFonts w:ascii="Cambria" w:hAnsi="Cambria"/>
          <w:color w:val="000000"/>
        </w:rPr>
        <w:t xml:space="preserve"> public school board</w:t>
      </w:r>
      <w:r w:rsidR="00CE7D0A">
        <w:rPr>
          <w:rFonts w:ascii="Cambria" w:hAnsi="Cambria"/>
          <w:color w:val="000000"/>
        </w:rPr>
        <w:t>,</w:t>
      </w:r>
      <w:r>
        <w:rPr>
          <w:rFonts w:ascii="Cambria" w:hAnsi="Cambria"/>
          <w:color w:val="000000"/>
        </w:rPr>
        <w:t xml:space="preserve"> and</w:t>
      </w:r>
      <w:r w:rsidR="000A73EE">
        <w:rPr>
          <w:rFonts w:ascii="Cambria" w:hAnsi="Cambria"/>
          <w:color w:val="000000"/>
        </w:rPr>
        <w:t xml:space="preserve"> </w:t>
      </w:r>
      <w:r>
        <w:rPr>
          <w:rFonts w:ascii="Cambria" w:hAnsi="Cambria"/>
          <w:color w:val="000000"/>
        </w:rPr>
        <w:t>UofT, Canada’s largest univers</w:t>
      </w:r>
      <w:r w:rsidR="00C56E60">
        <w:rPr>
          <w:rFonts w:ascii="Cambria" w:hAnsi="Cambria"/>
          <w:color w:val="000000"/>
        </w:rPr>
        <w:t>ity</w:t>
      </w:r>
      <w:r w:rsidR="00F70358">
        <w:rPr>
          <w:rFonts w:ascii="Cambria" w:hAnsi="Cambria"/>
          <w:color w:val="000000"/>
        </w:rPr>
        <w:t xml:space="preserve"> (see Brown, Davies and Chakraborty, 2019</w:t>
      </w:r>
      <w:r w:rsidR="00C572D6">
        <w:rPr>
          <w:rFonts w:ascii="Cambria" w:hAnsi="Cambria"/>
          <w:color w:val="000000"/>
        </w:rPr>
        <w:t>, and Brown, 2022</w:t>
      </w:r>
      <w:r w:rsidR="00F70358">
        <w:rPr>
          <w:rFonts w:ascii="Cambria" w:hAnsi="Cambria"/>
          <w:color w:val="000000"/>
        </w:rPr>
        <w:t xml:space="preserve"> for details)</w:t>
      </w:r>
      <w:r w:rsidR="00C56E60">
        <w:rPr>
          <w:rFonts w:ascii="Cambria" w:hAnsi="Cambria"/>
          <w:color w:val="000000"/>
        </w:rPr>
        <w:t xml:space="preserve">. It integrates </w:t>
      </w:r>
      <w:r w:rsidR="000A73EE">
        <w:rPr>
          <w:rFonts w:ascii="Cambria" w:hAnsi="Cambria"/>
          <w:color w:val="000000"/>
        </w:rPr>
        <w:t xml:space="preserve">several </w:t>
      </w:r>
      <w:r w:rsidR="00C56E60">
        <w:rPr>
          <w:rFonts w:ascii="Cambria" w:hAnsi="Cambria"/>
          <w:color w:val="000000"/>
        </w:rPr>
        <w:t>data</w:t>
      </w:r>
      <w:r>
        <w:rPr>
          <w:rFonts w:ascii="Cambria" w:hAnsi="Cambria"/>
          <w:color w:val="000000"/>
        </w:rPr>
        <w:t xml:space="preserve"> sources</w:t>
      </w:r>
      <w:r w:rsidR="000A73EE">
        <w:rPr>
          <w:rFonts w:ascii="Cambria" w:hAnsi="Cambria"/>
          <w:color w:val="000000"/>
        </w:rPr>
        <w:t xml:space="preserve">: </w:t>
      </w:r>
      <w:r>
        <w:rPr>
          <w:rFonts w:ascii="Cambria" w:hAnsi="Cambria"/>
          <w:color w:val="000000"/>
        </w:rPr>
        <w:t>student records</w:t>
      </w:r>
      <w:r w:rsidR="00CE7D0A">
        <w:rPr>
          <w:rFonts w:ascii="Cambria" w:hAnsi="Cambria"/>
          <w:color w:val="000000"/>
        </w:rPr>
        <w:t xml:space="preserve"> at both institutions, census data,</w:t>
      </w:r>
      <w:r>
        <w:rPr>
          <w:rFonts w:ascii="Cambria" w:hAnsi="Cambria"/>
          <w:color w:val="000000"/>
        </w:rPr>
        <w:t xml:space="preserve"> and a survey of student demographics</w:t>
      </w:r>
      <w:r w:rsidR="00CE7D0A">
        <w:rPr>
          <w:rFonts w:ascii="Cambria" w:hAnsi="Cambria"/>
          <w:color w:val="000000"/>
        </w:rPr>
        <w:t xml:space="preserve"> and attitudes.</w:t>
      </w:r>
      <w:r>
        <w:rPr>
          <w:rFonts w:ascii="Cambria" w:hAnsi="Cambria"/>
          <w:color w:val="000000"/>
        </w:rPr>
        <w:t xml:space="preserve"> </w:t>
      </w:r>
      <w:r w:rsidR="00C56E60">
        <w:rPr>
          <w:rFonts w:ascii="Cambria" w:hAnsi="Cambria"/>
          <w:color w:val="000000"/>
        </w:rPr>
        <w:t xml:space="preserve">It </w:t>
      </w:r>
      <w:r w:rsidR="00CE7D0A">
        <w:rPr>
          <w:rFonts w:ascii="Cambria" w:hAnsi="Cambria"/>
          <w:color w:val="000000"/>
        </w:rPr>
        <w:t xml:space="preserve">utilizes a </w:t>
      </w:r>
      <w:r w:rsidR="000A73EE">
        <w:rPr>
          <w:rFonts w:ascii="Cambria" w:hAnsi="Cambria"/>
          <w:color w:val="000000"/>
        </w:rPr>
        <w:t xml:space="preserve">longitudinal </w:t>
      </w:r>
      <w:r w:rsidR="00CE7D0A">
        <w:rPr>
          <w:rFonts w:ascii="Cambria" w:hAnsi="Cambria"/>
          <w:color w:val="000000"/>
        </w:rPr>
        <w:t xml:space="preserve">cohort design, </w:t>
      </w:r>
      <w:r w:rsidR="00F70358">
        <w:rPr>
          <w:rFonts w:ascii="Cambria" w:hAnsi="Cambria"/>
          <w:color w:val="000000"/>
        </w:rPr>
        <w:t>captur</w:t>
      </w:r>
      <w:r w:rsidR="00CE7D0A">
        <w:rPr>
          <w:rFonts w:ascii="Cambria" w:hAnsi="Cambria"/>
          <w:color w:val="000000"/>
        </w:rPr>
        <w:t>ing</w:t>
      </w:r>
      <w:r w:rsidR="00F70358">
        <w:rPr>
          <w:rFonts w:ascii="Cambria" w:hAnsi="Cambria"/>
          <w:color w:val="000000"/>
        </w:rPr>
        <w:t xml:space="preserve"> all students in </w:t>
      </w:r>
      <w:r w:rsidR="006D30D6">
        <w:rPr>
          <w:rFonts w:ascii="Cambria" w:hAnsi="Cambria"/>
          <w:color w:val="000000"/>
        </w:rPr>
        <w:t>6</w:t>
      </w:r>
      <w:r w:rsidR="00CE7D0A">
        <w:rPr>
          <w:rFonts w:ascii="Cambria" w:hAnsi="Cambria"/>
          <w:color w:val="000000"/>
        </w:rPr>
        <w:t xml:space="preserve"> </w:t>
      </w:r>
      <w:r w:rsidR="00F70358">
        <w:rPr>
          <w:rFonts w:ascii="Cambria" w:hAnsi="Cambria"/>
          <w:color w:val="000000"/>
        </w:rPr>
        <w:t xml:space="preserve">consecutive </w:t>
      </w:r>
      <w:r>
        <w:rPr>
          <w:rFonts w:ascii="Cambria" w:hAnsi="Cambria"/>
          <w:color w:val="000000"/>
        </w:rPr>
        <w:t xml:space="preserve">grade </w:t>
      </w:r>
      <w:r w:rsidR="00C572D6">
        <w:rPr>
          <w:rFonts w:ascii="Cambria" w:hAnsi="Cambria"/>
          <w:color w:val="000000"/>
        </w:rPr>
        <w:t>12</w:t>
      </w:r>
      <w:r>
        <w:rPr>
          <w:rFonts w:ascii="Cambria" w:hAnsi="Cambria"/>
          <w:color w:val="000000"/>
        </w:rPr>
        <w:t xml:space="preserve"> </w:t>
      </w:r>
      <w:r w:rsidR="00F70358">
        <w:rPr>
          <w:rFonts w:ascii="Cambria" w:hAnsi="Cambria"/>
          <w:color w:val="000000"/>
        </w:rPr>
        <w:t>cohorts</w:t>
      </w:r>
      <w:r w:rsidR="00CE7D0A">
        <w:rPr>
          <w:rFonts w:ascii="Cambria" w:hAnsi="Cambria"/>
          <w:color w:val="000000"/>
        </w:rPr>
        <w:t xml:space="preserve">, </w:t>
      </w:r>
      <w:r w:rsidR="006D30D6">
        <w:rPr>
          <w:rFonts w:ascii="Cambria" w:hAnsi="Cambria"/>
          <w:color w:val="000000"/>
        </w:rPr>
        <w:t>and small</w:t>
      </w:r>
      <w:r w:rsidR="006E10D9">
        <w:rPr>
          <w:rFonts w:ascii="Cambria" w:hAnsi="Cambria"/>
          <w:color w:val="000000"/>
        </w:rPr>
        <w:t>er</w:t>
      </w:r>
      <w:r w:rsidR="006D30D6">
        <w:rPr>
          <w:rFonts w:ascii="Cambria" w:hAnsi="Cambria"/>
          <w:color w:val="000000"/>
        </w:rPr>
        <w:t xml:space="preserve"> numbers in 4 other cohorts.</w:t>
      </w:r>
    </w:p>
    <w:p w14:paraId="3EC52C52" w14:textId="77777777" w:rsidR="00194B92" w:rsidRDefault="00194B92">
      <w:pPr>
        <w:spacing w:after="0"/>
        <w:ind w:left="120"/>
        <w:rPr>
          <w:rFonts w:ascii="Cambria" w:hAnsi="Cambria"/>
          <w:color w:val="000000"/>
        </w:rPr>
      </w:pPr>
    </w:p>
    <w:p w14:paraId="548AA7B9" w14:textId="424FDFC9" w:rsidR="00B66345" w:rsidRDefault="00194B92">
      <w:pPr>
        <w:spacing w:after="0"/>
        <w:ind w:left="120"/>
        <w:rPr>
          <w:rFonts w:ascii="Cambria" w:hAnsi="Cambria"/>
          <w:color w:val="000000"/>
        </w:rPr>
      </w:pPr>
      <w:r w:rsidRPr="00194B92">
        <w:rPr>
          <w:rFonts w:ascii="Cambria" w:hAnsi="Cambria"/>
          <w:b/>
          <w:color w:val="000000"/>
        </w:rPr>
        <w:lastRenderedPageBreak/>
        <w:t>Data Matching and Merging</w:t>
      </w:r>
      <w:r>
        <w:rPr>
          <w:rFonts w:ascii="Cambria" w:hAnsi="Cambria"/>
          <w:color w:val="000000"/>
        </w:rPr>
        <w:t xml:space="preserve">: </w:t>
      </w:r>
      <w:r w:rsidR="006D30D6">
        <w:rPr>
          <w:rFonts w:ascii="Cambria" w:hAnsi="Cambria"/>
          <w:color w:val="000000"/>
        </w:rPr>
        <w:t xml:space="preserve"> </w:t>
      </w:r>
    </w:p>
    <w:p w14:paraId="5370837F" w14:textId="25C5DC2F" w:rsidR="00B66345" w:rsidRPr="00B66345" w:rsidRDefault="006E10D9" w:rsidP="00B66345">
      <w:pPr>
        <w:spacing w:after="0"/>
        <w:ind w:left="120"/>
        <w:rPr>
          <w:rFonts w:ascii="Cambria" w:hAnsi="Cambria"/>
          <w:color w:val="000000"/>
        </w:rPr>
      </w:pPr>
      <w:r>
        <w:rPr>
          <w:rFonts w:ascii="Cambria" w:hAnsi="Cambria"/>
          <w:color w:val="000000"/>
        </w:rPr>
        <w:t xml:space="preserve">As in the previous dataset, students who were </w:t>
      </w:r>
      <w:r w:rsidR="00B62994">
        <w:rPr>
          <w:rFonts w:ascii="Cambria" w:hAnsi="Cambria"/>
          <w:color w:val="000000"/>
        </w:rPr>
        <w:t>captured in the matching process</w:t>
      </w:r>
      <w:r>
        <w:rPr>
          <w:rFonts w:ascii="Cambria" w:hAnsi="Cambria"/>
          <w:color w:val="000000"/>
        </w:rPr>
        <w:t xml:space="preserve"> </w:t>
      </w:r>
      <w:r w:rsidR="00B62994">
        <w:rPr>
          <w:rFonts w:ascii="Cambria" w:hAnsi="Cambria"/>
          <w:color w:val="000000"/>
        </w:rPr>
        <w:t>shared the same starting point – enrolling in grade 12 in a TDSB school – and a common destination –undergraduate enrolment at UofT.  </w:t>
      </w:r>
      <w:r w:rsidR="00B66345">
        <w:rPr>
          <w:rFonts w:ascii="Cambria" w:hAnsi="Cambria"/>
          <w:color w:val="000000"/>
        </w:rPr>
        <w:t xml:space="preserve">The initial matching process captured </w:t>
      </w:r>
      <w:r w:rsidR="00B66345" w:rsidRPr="00B66345">
        <w:rPr>
          <w:rFonts w:ascii="Cambria" w:hAnsi="Cambria"/>
          <w:color w:val="000000"/>
        </w:rPr>
        <w:t>56,484</w:t>
      </w:r>
      <w:r w:rsidR="00B66345">
        <w:rPr>
          <w:rFonts w:ascii="Cambria" w:hAnsi="Cambria"/>
          <w:color w:val="000000"/>
        </w:rPr>
        <w:t xml:space="preserve"> students</w:t>
      </w:r>
      <w:r>
        <w:rPr>
          <w:rFonts w:ascii="Cambria" w:hAnsi="Cambria"/>
          <w:color w:val="000000"/>
        </w:rPr>
        <w:t xml:space="preserve">. All of those students </w:t>
      </w:r>
      <w:r w:rsidR="00B66345">
        <w:rPr>
          <w:rFonts w:ascii="Cambria" w:hAnsi="Cambria"/>
          <w:color w:val="000000"/>
        </w:rPr>
        <w:t xml:space="preserve">were </w:t>
      </w:r>
      <w:r w:rsidR="00164268">
        <w:rPr>
          <w:rFonts w:ascii="Cambria" w:hAnsi="Cambria"/>
          <w:color w:val="000000"/>
        </w:rPr>
        <w:t xml:space="preserve">once </w:t>
      </w:r>
      <w:r w:rsidR="00B66345">
        <w:rPr>
          <w:rFonts w:ascii="Cambria" w:hAnsi="Cambria"/>
          <w:color w:val="000000"/>
        </w:rPr>
        <w:t>in grade 12 in TDSB</w:t>
      </w:r>
      <w:r w:rsidR="007A029D">
        <w:rPr>
          <w:rFonts w:ascii="Cambria" w:hAnsi="Cambria"/>
          <w:color w:val="000000"/>
        </w:rPr>
        <w:t>,</w:t>
      </w:r>
      <w:r w:rsidR="00B66345">
        <w:rPr>
          <w:rFonts w:ascii="Cambria" w:hAnsi="Cambria"/>
          <w:color w:val="000000"/>
        </w:rPr>
        <w:t xml:space="preserve"> </w:t>
      </w:r>
      <w:r w:rsidR="00164268">
        <w:rPr>
          <w:rFonts w:ascii="Cambria" w:hAnsi="Cambria"/>
          <w:color w:val="000000"/>
        </w:rPr>
        <w:t xml:space="preserve">mainly </w:t>
      </w:r>
      <w:r w:rsidR="00B66345">
        <w:rPr>
          <w:rFonts w:ascii="Cambria" w:hAnsi="Cambria"/>
          <w:color w:val="000000"/>
        </w:rPr>
        <w:t xml:space="preserve">between </w:t>
      </w:r>
      <w:r w:rsidR="00164268">
        <w:rPr>
          <w:rFonts w:ascii="Cambria" w:hAnsi="Cambria"/>
          <w:color w:val="000000"/>
        </w:rPr>
        <w:t>2006 and 2011</w:t>
      </w:r>
      <w:r w:rsidR="007A029D">
        <w:rPr>
          <w:rFonts w:ascii="Cambria" w:hAnsi="Cambria"/>
          <w:color w:val="000000"/>
        </w:rPr>
        <w:t>,</w:t>
      </w:r>
      <w:r w:rsidR="00164268">
        <w:rPr>
          <w:rFonts w:ascii="Cambria" w:hAnsi="Cambria"/>
          <w:color w:val="000000"/>
        </w:rPr>
        <w:t xml:space="preserve"> and </w:t>
      </w:r>
      <w:r>
        <w:rPr>
          <w:rFonts w:ascii="Cambria" w:hAnsi="Cambria"/>
          <w:color w:val="000000"/>
        </w:rPr>
        <w:t xml:space="preserve">also had </w:t>
      </w:r>
      <w:r w:rsidR="00B66345">
        <w:rPr>
          <w:rFonts w:ascii="Cambria" w:hAnsi="Cambria"/>
          <w:color w:val="000000"/>
        </w:rPr>
        <w:t>student record</w:t>
      </w:r>
      <w:r w:rsidR="00164268">
        <w:rPr>
          <w:rFonts w:ascii="Cambria" w:hAnsi="Cambria"/>
          <w:color w:val="000000"/>
        </w:rPr>
        <w:t>s</w:t>
      </w:r>
      <w:r w:rsidR="00B66345">
        <w:rPr>
          <w:rFonts w:ascii="Cambria" w:hAnsi="Cambria"/>
          <w:color w:val="000000"/>
        </w:rPr>
        <w:t xml:space="preserve"> at UofT</w:t>
      </w:r>
      <w:r>
        <w:rPr>
          <w:rFonts w:ascii="Cambria" w:hAnsi="Cambria"/>
          <w:color w:val="000000"/>
        </w:rPr>
        <w:t>,</w:t>
      </w:r>
      <w:r w:rsidR="00164268">
        <w:rPr>
          <w:rFonts w:ascii="Cambria" w:hAnsi="Cambria"/>
          <w:color w:val="000000"/>
        </w:rPr>
        <w:t xml:space="preserve"> mainly between 2007 and 2012</w:t>
      </w:r>
      <w:r w:rsidR="00B66345">
        <w:rPr>
          <w:rFonts w:ascii="Cambria" w:hAnsi="Cambria"/>
          <w:color w:val="000000"/>
        </w:rPr>
        <w:t xml:space="preserve">.  Among those matches, </w:t>
      </w:r>
      <w:r w:rsidR="00B66345" w:rsidRPr="00B66345">
        <w:rPr>
          <w:rFonts w:ascii="Cambria" w:hAnsi="Cambria"/>
          <w:color w:val="000000"/>
        </w:rPr>
        <w:t xml:space="preserve">33,669 </w:t>
      </w:r>
      <w:r w:rsidR="00B66345">
        <w:rPr>
          <w:rFonts w:ascii="Cambria" w:hAnsi="Cambria"/>
          <w:color w:val="000000"/>
        </w:rPr>
        <w:t>(</w:t>
      </w:r>
      <w:r w:rsidR="00B66345" w:rsidRPr="00B66345">
        <w:rPr>
          <w:rFonts w:ascii="Cambria" w:hAnsi="Cambria"/>
          <w:color w:val="000000"/>
        </w:rPr>
        <w:t>59.6</w:t>
      </w:r>
      <w:r w:rsidR="00B66345">
        <w:rPr>
          <w:rFonts w:ascii="Cambria" w:hAnsi="Cambria"/>
          <w:color w:val="000000"/>
        </w:rPr>
        <w:t xml:space="preserve">%) were applicants only and never enrolled in UofT. Another </w:t>
      </w:r>
      <w:r w:rsidR="00B66345" w:rsidRPr="00B66345">
        <w:rPr>
          <w:rFonts w:ascii="Cambria" w:hAnsi="Cambria"/>
          <w:color w:val="000000"/>
        </w:rPr>
        <w:t xml:space="preserve">2,707 </w:t>
      </w:r>
      <w:r w:rsidR="00B66345">
        <w:rPr>
          <w:rFonts w:ascii="Cambria" w:hAnsi="Cambria"/>
          <w:color w:val="000000"/>
        </w:rPr>
        <w:t>(</w:t>
      </w:r>
      <w:r w:rsidR="00B66345" w:rsidRPr="00B66345">
        <w:rPr>
          <w:rFonts w:ascii="Cambria" w:hAnsi="Cambria"/>
          <w:color w:val="000000"/>
        </w:rPr>
        <w:t>4.</w:t>
      </w:r>
      <w:r w:rsidR="00164268">
        <w:rPr>
          <w:rFonts w:ascii="Cambria" w:hAnsi="Cambria"/>
          <w:color w:val="000000"/>
        </w:rPr>
        <w:t>8</w:t>
      </w:r>
      <w:r w:rsidR="00B66345">
        <w:rPr>
          <w:rFonts w:ascii="Cambria" w:hAnsi="Cambria"/>
          <w:color w:val="000000"/>
        </w:rPr>
        <w:t>%) attended UofT only in</w:t>
      </w:r>
      <w:r w:rsidR="00B66345" w:rsidRPr="00B66345">
        <w:rPr>
          <w:rFonts w:ascii="Cambria" w:hAnsi="Cambria"/>
          <w:color w:val="000000"/>
        </w:rPr>
        <w:t xml:space="preserve"> </w:t>
      </w:r>
      <w:r w:rsidR="00164268">
        <w:rPr>
          <w:rFonts w:ascii="Cambria" w:hAnsi="Cambria"/>
          <w:color w:val="000000"/>
        </w:rPr>
        <w:t>n</w:t>
      </w:r>
      <w:r w:rsidR="00B66345" w:rsidRPr="00B66345">
        <w:rPr>
          <w:rFonts w:ascii="Cambria" w:hAnsi="Cambria"/>
          <w:color w:val="000000"/>
        </w:rPr>
        <w:t>oncredit</w:t>
      </w:r>
      <w:r w:rsidR="00B66345">
        <w:rPr>
          <w:rFonts w:ascii="Cambria" w:hAnsi="Cambria"/>
          <w:color w:val="000000"/>
        </w:rPr>
        <w:t xml:space="preserve"> </w:t>
      </w:r>
      <w:r w:rsidR="00164268">
        <w:rPr>
          <w:rFonts w:ascii="Cambria" w:hAnsi="Cambria"/>
          <w:color w:val="000000"/>
        </w:rPr>
        <w:t xml:space="preserve">certificate </w:t>
      </w:r>
      <w:r w:rsidR="00B66345">
        <w:rPr>
          <w:rFonts w:ascii="Cambria" w:hAnsi="Cambria"/>
          <w:color w:val="000000"/>
        </w:rPr>
        <w:t>or t</w:t>
      </w:r>
      <w:r w:rsidR="00B66345" w:rsidRPr="00B66345">
        <w:rPr>
          <w:rFonts w:ascii="Cambria" w:hAnsi="Cambria"/>
          <w:color w:val="000000"/>
        </w:rPr>
        <w:t xml:space="preserve">ransitional </w:t>
      </w:r>
      <w:r w:rsidR="00B66345">
        <w:rPr>
          <w:rFonts w:ascii="Cambria" w:hAnsi="Cambria"/>
          <w:color w:val="000000"/>
        </w:rPr>
        <w:t>programs</w:t>
      </w:r>
      <w:r w:rsidR="00164268">
        <w:rPr>
          <w:rFonts w:ascii="Cambria" w:hAnsi="Cambria"/>
          <w:color w:val="000000"/>
        </w:rPr>
        <w:t xml:space="preserve">. Another </w:t>
      </w:r>
      <w:r w:rsidR="00164268" w:rsidRPr="00B66345">
        <w:rPr>
          <w:rFonts w:ascii="Cambria" w:hAnsi="Cambria"/>
          <w:color w:val="000000"/>
        </w:rPr>
        <w:t>1,925</w:t>
      </w:r>
      <w:r w:rsidR="00164268">
        <w:rPr>
          <w:rFonts w:ascii="Cambria" w:hAnsi="Cambria"/>
          <w:color w:val="000000"/>
        </w:rPr>
        <w:t xml:space="preserve"> students (</w:t>
      </w:r>
      <w:r w:rsidR="00164268" w:rsidRPr="00B66345">
        <w:rPr>
          <w:rFonts w:ascii="Cambria" w:hAnsi="Cambria"/>
          <w:color w:val="000000"/>
        </w:rPr>
        <w:t>3.4</w:t>
      </w:r>
      <w:r w:rsidR="00164268">
        <w:rPr>
          <w:rFonts w:ascii="Cambria" w:hAnsi="Cambria"/>
          <w:color w:val="000000"/>
        </w:rPr>
        <w:t>%) enrolled in UofT only as g</w:t>
      </w:r>
      <w:r w:rsidR="00164268" w:rsidRPr="00B66345">
        <w:rPr>
          <w:rFonts w:ascii="Cambria" w:hAnsi="Cambria"/>
          <w:color w:val="000000"/>
        </w:rPr>
        <w:t xml:space="preserve">raduate </w:t>
      </w:r>
      <w:r w:rsidR="00164268">
        <w:rPr>
          <w:rFonts w:ascii="Cambria" w:hAnsi="Cambria"/>
          <w:color w:val="000000"/>
        </w:rPr>
        <w:t>students. Finally,</w:t>
      </w:r>
      <w:r w:rsidR="00164268" w:rsidRPr="00B66345">
        <w:rPr>
          <w:rFonts w:ascii="Cambria" w:hAnsi="Cambria"/>
          <w:color w:val="000000"/>
        </w:rPr>
        <w:t xml:space="preserve"> 18,183</w:t>
      </w:r>
      <w:r w:rsidR="00164268">
        <w:rPr>
          <w:rFonts w:ascii="Cambria" w:hAnsi="Cambria"/>
          <w:color w:val="000000"/>
        </w:rPr>
        <w:t xml:space="preserve"> (</w:t>
      </w:r>
      <w:r w:rsidR="00164268" w:rsidRPr="00B66345">
        <w:rPr>
          <w:rFonts w:ascii="Cambria" w:hAnsi="Cambria"/>
          <w:color w:val="000000"/>
        </w:rPr>
        <w:t>32.</w:t>
      </w:r>
      <w:r w:rsidR="00164268">
        <w:rPr>
          <w:rFonts w:ascii="Cambria" w:hAnsi="Cambria"/>
          <w:color w:val="000000"/>
        </w:rPr>
        <w:t>2% of all matches) enrolled as u</w:t>
      </w:r>
      <w:r w:rsidR="00B66345" w:rsidRPr="00B66345">
        <w:rPr>
          <w:rFonts w:ascii="Cambria" w:hAnsi="Cambria"/>
          <w:color w:val="000000"/>
        </w:rPr>
        <w:t>ndergraduate</w:t>
      </w:r>
      <w:r w:rsidR="00164268">
        <w:rPr>
          <w:rFonts w:ascii="Cambria" w:hAnsi="Cambria"/>
          <w:color w:val="000000"/>
        </w:rPr>
        <w:t>s</w:t>
      </w:r>
      <w:r w:rsidR="00B66345" w:rsidRPr="00B66345">
        <w:rPr>
          <w:rFonts w:ascii="Cambria" w:hAnsi="Cambria"/>
          <w:color w:val="000000"/>
        </w:rPr>
        <w:t xml:space="preserve"> at U of T</w:t>
      </w:r>
      <w:r w:rsidR="00164268">
        <w:rPr>
          <w:rFonts w:ascii="Cambria" w:hAnsi="Cambria"/>
          <w:color w:val="000000"/>
        </w:rPr>
        <w:t>. This report focuses only on the latter group.</w:t>
      </w:r>
      <w:r w:rsidR="00B66345" w:rsidRPr="00B66345">
        <w:rPr>
          <w:rFonts w:ascii="Cambria" w:hAnsi="Cambria"/>
          <w:color w:val="000000"/>
        </w:rPr>
        <w:t xml:space="preserve">   </w:t>
      </w:r>
    </w:p>
    <w:p w14:paraId="0D9F2A3D" w14:textId="77777777" w:rsidR="00194B92" w:rsidRDefault="00194B92" w:rsidP="00B66345">
      <w:pPr>
        <w:spacing w:after="0"/>
        <w:ind w:left="120"/>
        <w:rPr>
          <w:rFonts w:ascii="Cambria" w:hAnsi="Cambria"/>
          <w:color w:val="000000"/>
        </w:rPr>
      </w:pPr>
    </w:p>
    <w:p w14:paraId="5AEF8D64" w14:textId="0216251A" w:rsidR="008F2135" w:rsidRDefault="008F2135">
      <w:pPr>
        <w:spacing w:after="0"/>
        <w:ind w:left="120"/>
        <w:rPr>
          <w:rFonts w:ascii="Cambria" w:hAnsi="Cambria"/>
          <w:b/>
          <w:color w:val="000000"/>
        </w:rPr>
      </w:pPr>
      <w:r>
        <w:rPr>
          <w:rFonts w:ascii="Cambria" w:hAnsi="Cambria"/>
          <w:color w:val="000000"/>
        </w:rPr>
        <w:t>The first sizable cohort initially entered UofT in the fall of 2007 - only 0.4% entered UofT prior to the fall of 2007. Most of those entrants in were in grade 12 in the fall of 2006.  After the fall of 2013, only 2.7% of the population had not yet entered UofT.</w:t>
      </w:r>
    </w:p>
    <w:p w14:paraId="09D7F9A9" w14:textId="77777777" w:rsidR="008F2135" w:rsidRDefault="008F2135">
      <w:pPr>
        <w:spacing w:after="0"/>
        <w:ind w:left="120"/>
        <w:rPr>
          <w:rFonts w:ascii="Cambria" w:hAnsi="Cambria"/>
          <w:b/>
          <w:color w:val="000000"/>
        </w:rPr>
      </w:pPr>
    </w:p>
    <w:p w14:paraId="354F0138" w14:textId="33100D38" w:rsidR="003F146D" w:rsidRDefault="00194B92">
      <w:pPr>
        <w:spacing w:after="0"/>
        <w:ind w:left="120"/>
        <w:rPr>
          <w:rFonts w:ascii="Cambria" w:hAnsi="Cambria"/>
          <w:color w:val="000000"/>
        </w:rPr>
      </w:pPr>
      <w:r>
        <w:rPr>
          <w:rFonts w:ascii="Cambria" w:hAnsi="Cambria"/>
          <w:b/>
          <w:color w:val="000000"/>
        </w:rPr>
        <w:t>Analytic Sample</w:t>
      </w:r>
      <w:r>
        <w:rPr>
          <w:rFonts w:ascii="Cambria" w:hAnsi="Cambria"/>
          <w:color w:val="000000"/>
        </w:rPr>
        <w:t xml:space="preserve">: </w:t>
      </w:r>
    </w:p>
    <w:p w14:paraId="022F5A71" w14:textId="467B944A" w:rsidR="006D30D6" w:rsidRDefault="003F146D">
      <w:pPr>
        <w:spacing w:after="0"/>
        <w:ind w:left="120"/>
        <w:rPr>
          <w:rFonts w:ascii="Cambria" w:hAnsi="Cambria"/>
          <w:color w:val="000000"/>
        </w:rPr>
      </w:pPr>
      <w:r>
        <w:rPr>
          <w:rFonts w:ascii="Cambria" w:hAnsi="Cambria"/>
          <w:color w:val="000000"/>
        </w:rPr>
        <w:tab/>
      </w:r>
      <w:r w:rsidR="00194B92">
        <w:rPr>
          <w:rFonts w:ascii="Cambria" w:hAnsi="Cambria"/>
          <w:color w:val="000000"/>
        </w:rPr>
        <w:t xml:space="preserve">This study </w:t>
      </w:r>
      <w:r w:rsidR="00C22831">
        <w:rPr>
          <w:rFonts w:ascii="Cambria" w:hAnsi="Cambria"/>
          <w:color w:val="000000"/>
        </w:rPr>
        <w:t>examines</w:t>
      </w:r>
      <w:r w:rsidR="00194B92">
        <w:rPr>
          <w:rFonts w:ascii="Cambria" w:hAnsi="Cambria"/>
          <w:color w:val="000000"/>
        </w:rPr>
        <w:t xml:space="preserve"> 18,183 former TDSB </w:t>
      </w:r>
      <w:r w:rsidR="006E10D9">
        <w:rPr>
          <w:rFonts w:ascii="Cambria" w:hAnsi="Cambria"/>
          <w:color w:val="000000"/>
        </w:rPr>
        <w:t xml:space="preserve">grade 12 </w:t>
      </w:r>
      <w:r w:rsidR="00194B92">
        <w:rPr>
          <w:rFonts w:ascii="Cambria" w:hAnsi="Cambria"/>
          <w:color w:val="000000"/>
        </w:rPr>
        <w:t>students who entered UofT as degree-seeking undergraduates.</w:t>
      </w:r>
      <w:r w:rsidR="00B66345" w:rsidRPr="00B66345">
        <w:rPr>
          <w:rFonts w:ascii="Cambria" w:hAnsi="Cambria"/>
          <w:color w:val="000000"/>
        </w:rPr>
        <w:t xml:space="preserve">  </w:t>
      </w:r>
      <w:r w:rsidR="00194B92">
        <w:rPr>
          <w:rFonts w:ascii="Cambria" w:hAnsi="Cambria"/>
          <w:color w:val="000000"/>
        </w:rPr>
        <w:t>Almost 95% of th</w:t>
      </w:r>
      <w:r w:rsidR="00C22831">
        <w:rPr>
          <w:rFonts w:ascii="Cambria" w:hAnsi="Cambria"/>
          <w:color w:val="000000"/>
        </w:rPr>
        <w:t xml:space="preserve">at group </w:t>
      </w:r>
      <w:r w:rsidR="006E10D9">
        <w:rPr>
          <w:rFonts w:ascii="Cambria" w:hAnsi="Cambria"/>
          <w:color w:val="000000"/>
        </w:rPr>
        <w:t xml:space="preserve">initially </w:t>
      </w:r>
      <w:r w:rsidR="00194B92">
        <w:rPr>
          <w:rFonts w:ascii="Cambria" w:hAnsi="Cambria"/>
          <w:color w:val="000000"/>
        </w:rPr>
        <w:t>entered UofT between 2006 and 2011.</w:t>
      </w:r>
      <w:r w:rsidR="006E10D9">
        <w:rPr>
          <w:rFonts w:ascii="Cambria" w:hAnsi="Cambria"/>
          <w:color w:val="000000"/>
        </w:rPr>
        <w:t xml:space="preserve"> Only 0.5% of all students entered UofT in September 2006 or earlier.</w:t>
      </w:r>
      <w:r w:rsidR="00194B92">
        <w:rPr>
          <w:rFonts w:ascii="Cambria" w:hAnsi="Cambria"/>
          <w:color w:val="000000"/>
        </w:rPr>
        <w:t xml:space="preserve">  </w:t>
      </w:r>
      <w:r w:rsidR="00B66345" w:rsidRPr="00B66345">
        <w:rPr>
          <w:rFonts w:ascii="Cambria" w:hAnsi="Cambria"/>
          <w:color w:val="000000"/>
        </w:rPr>
        <w:t xml:space="preserve"> </w:t>
      </w:r>
      <w:r w:rsidR="00C22831">
        <w:rPr>
          <w:rFonts w:ascii="Cambria" w:hAnsi="Cambria"/>
          <w:color w:val="000000"/>
        </w:rPr>
        <w:t>T</w:t>
      </w:r>
      <w:r w:rsidR="00164268">
        <w:rPr>
          <w:rFonts w:ascii="Cambria" w:hAnsi="Cambria"/>
          <w:color w:val="000000"/>
        </w:rPr>
        <w:t xml:space="preserve">he first sizeable </w:t>
      </w:r>
      <w:r w:rsidR="006D30D6">
        <w:rPr>
          <w:rFonts w:ascii="Cambria" w:hAnsi="Cambria"/>
          <w:color w:val="000000"/>
        </w:rPr>
        <w:t xml:space="preserve">cohort began grade 12 in the fall of </w:t>
      </w:r>
      <w:r w:rsidR="00CE7D0A">
        <w:rPr>
          <w:rFonts w:ascii="Cambria" w:hAnsi="Cambria"/>
          <w:color w:val="000000"/>
        </w:rPr>
        <w:t>20</w:t>
      </w:r>
      <w:r w:rsidR="006D30D6">
        <w:rPr>
          <w:rFonts w:ascii="Cambria" w:hAnsi="Cambria"/>
          <w:color w:val="000000"/>
        </w:rPr>
        <w:t>06,</w:t>
      </w:r>
      <w:r w:rsidR="00C22831">
        <w:rPr>
          <w:rFonts w:ascii="Cambria" w:hAnsi="Cambria"/>
          <w:color w:val="000000"/>
        </w:rPr>
        <w:t xml:space="preserve"> </w:t>
      </w:r>
      <w:r w:rsidR="007A029D">
        <w:rPr>
          <w:rFonts w:ascii="Cambria" w:hAnsi="Cambria"/>
          <w:color w:val="000000"/>
        </w:rPr>
        <w:t xml:space="preserve">most </w:t>
      </w:r>
      <w:r w:rsidR="006E10D9">
        <w:rPr>
          <w:rFonts w:ascii="Cambria" w:hAnsi="Cambria"/>
          <w:color w:val="000000"/>
        </w:rPr>
        <w:t xml:space="preserve">of whom </w:t>
      </w:r>
      <w:r w:rsidR="006D30D6">
        <w:rPr>
          <w:rFonts w:ascii="Cambria" w:hAnsi="Cambria"/>
          <w:color w:val="000000"/>
        </w:rPr>
        <w:t xml:space="preserve">entered </w:t>
      </w:r>
      <w:r w:rsidR="00CE7D0A">
        <w:rPr>
          <w:rFonts w:ascii="Cambria" w:hAnsi="Cambria"/>
          <w:color w:val="000000"/>
        </w:rPr>
        <w:t xml:space="preserve">UofT </w:t>
      </w:r>
      <w:r w:rsidR="007A029D">
        <w:rPr>
          <w:rFonts w:ascii="Cambria" w:hAnsi="Cambria"/>
          <w:color w:val="000000"/>
        </w:rPr>
        <w:t>in the</w:t>
      </w:r>
      <w:r w:rsidR="00CE7D0A">
        <w:rPr>
          <w:rFonts w:ascii="Cambria" w:hAnsi="Cambria"/>
          <w:color w:val="000000"/>
        </w:rPr>
        <w:t xml:space="preserve"> fall of 20</w:t>
      </w:r>
      <w:r w:rsidR="006D30D6">
        <w:rPr>
          <w:rFonts w:ascii="Cambria" w:hAnsi="Cambria"/>
          <w:color w:val="000000"/>
        </w:rPr>
        <w:t>07.</w:t>
      </w:r>
      <w:r w:rsidR="0036600F">
        <w:rPr>
          <w:rFonts w:ascii="Cambria" w:hAnsi="Cambria"/>
          <w:color w:val="000000"/>
        </w:rPr>
        <w:t xml:space="preserve"> </w:t>
      </w:r>
      <w:r w:rsidR="006D30D6">
        <w:rPr>
          <w:rFonts w:ascii="Cambria" w:hAnsi="Cambria"/>
          <w:color w:val="000000"/>
        </w:rPr>
        <w:t xml:space="preserve"> The last sizeable cohort was in grade 12 in the fall of 2011, </w:t>
      </w:r>
      <w:r w:rsidR="00C22831">
        <w:rPr>
          <w:rFonts w:ascii="Cambria" w:hAnsi="Cambria"/>
          <w:color w:val="000000"/>
        </w:rPr>
        <w:t xml:space="preserve">most of </w:t>
      </w:r>
      <w:r w:rsidR="0036600F">
        <w:rPr>
          <w:rFonts w:ascii="Cambria" w:hAnsi="Cambria"/>
          <w:color w:val="000000"/>
        </w:rPr>
        <w:t xml:space="preserve">whom initially entered UofT in the fall of 2012. About 6% of </w:t>
      </w:r>
      <w:r>
        <w:rPr>
          <w:rFonts w:ascii="Cambria" w:hAnsi="Cambria"/>
          <w:color w:val="000000"/>
        </w:rPr>
        <w:t xml:space="preserve">those students </w:t>
      </w:r>
      <w:r w:rsidR="0036600F">
        <w:rPr>
          <w:rFonts w:ascii="Cambria" w:hAnsi="Cambria"/>
          <w:color w:val="000000"/>
        </w:rPr>
        <w:t>entered UofT</w:t>
      </w:r>
      <w:r w:rsidR="00C22831">
        <w:rPr>
          <w:rFonts w:ascii="Cambria" w:hAnsi="Cambria"/>
          <w:color w:val="000000"/>
        </w:rPr>
        <w:t xml:space="preserve"> </w:t>
      </w:r>
      <w:r w:rsidR="0036600F">
        <w:rPr>
          <w:rFonts w:ascii="Cambria" w:hAnsi="Cambria"/>
          <w:color w:val="000000"/>
        </w:rPr>
        <w:t xml:space="preserve">between January 2013 and September 2020.  </w:t>
      </w:r>
    </w:p>
    <w:p w14:paraId="2F091FC7" w14:textId="2DE75DEE" w:rsidR="006D30D6" w:rsidRDefault="006D30D6">
      <w:pPr>
        <w:spacing w:after="0"/>
        <w:ind w:left="120"/>
        <w:rPr>
          <w:rFonts w:ascii="Cambria" w:hAnsi="Cambria"/>
          <w:color w:val="000000"/>
        </w:rPr>
      </w:pPr>
    </w:p>
    <w:p w14:paraId="200B41D7" w14:textId="632F6AF4" w:rsidR="00873A16" w:rsidRDefault="00873A16">
      <w:pPr>
        <w:spacing w:after="0"/>
        <w:ind w:left="120"/>
        <w:rPr>
          <w:rFonts w:ascii="Cambria" w:hAnsi="Cambria"/>
          <w:color w:val="000000"/>
        </w:rPr>
      </w:pPr>
      <w:r>
        <w:rPr>
          <w:rFonts w:ascii="Cambria" w:hAnsi="Cambria"/>
          <w:color w:val="000000"/>
        </w:rPr>
        <w:tab/>
        <w:t>While most TDSB and UofT student records are nearly 100% complete with 2 exceptions (discussed in the next paragraph), TDSB demographic variables have sizeable rates of missing data since they were derived from a different data source - the TDSB student census. That survey had a good response rate overall, but those rates were lower for some questions, particularly those that asked students about their parents’ occupation and education. Those items had about 70% valid cases. Fortunately, there is little reason to believe that such non-response could confound analysis of transfer students.</w:t>
      </w:r>
    </w:p>
    <w:p w14:paraId="00CA9E98" w14:textId="08045007" w:rsidR="00F14699" w:rsidRDefault="003F146D">
      <w:pPr>
        <w:spacing w:after="0"/>
        <w:ind w:left="120"/>
        <w:rPr>
          <w:rFonts w:ascii="Cambria" w:hAnsi="Cambria"/>
          <w:color w:val="000000"/>
        </w:rPr>
      </w:pPr>
      <w:r>
        <w:rPr>
          <w:rFonts w:ascii="Cambria" w:hAnsi="Cambria"/>
          <w:color w:val="000000"/>
        </w:rPr>
        <w:tab/>
        <w:t xml:space="preserve">The dataset had </w:t>
      </w:r>
      <w:r w:rsidR="00844B8A">
        <w:rPr>
          <w:rFonts w:ascii="Cambria" w:hAnsi="Cambria"/>
          <w:color w:val="000000"/>
        </w:rPr>
        <w:t xml:space="preserve">two key sources of missing data that </w:t>
      </w:r>
      <w:r>
        <w:rPr>
          <w:rFonts w:ascii="Cambria" w:hAnsi="Cambria"/>
          <w:color w:val="000000"/>
        </w:rPr>
        <w:t>could have potentially</w:t>
      </w:r>
      <w:r w:rsidR="00844B8A">
        <w:rPr>
          <w:rFonts w:ascii="Cambria" w:hAnsi="Cambria"/>
          <w:color w:val="000000"/>
        </w:rPr>
        <w:t xml:space="preserve"> influence</w:t>
      </w:r>
      <w:r>
        <w:rPr>
          <w:rFonts w:ascii="Cambria" w:hAnsi="Cambria"/>
          <w:color w:val="000000"/>
        </w:rPr>
        <w:t>d</w:t>
      </w:r>
      <w:r w:rsidR="00844B8A">
        <w:rPr>
          <w:rFonts w:ascii="Cambria" w:hAnsi="Cambria"/>
          <w:color w:val="000000"/>
        </w:rPr>
        <w:t xml:space="preserve"> the identification of transfer students. First, </w:t>
      </w:r>
      <w:r w:rsidR="0084442D" w:rsidRPr="0084442D">
        <w:rPr>
          <w:rFonts w:ascii="Cambria" w:hAnsi="Cambria"/>
          <w:color w:val="000000"/>
        </w:rPr>
        <w:t xml:space="preserve">338 </w:t>
      </w:r>
      <w:r w:rsidR="0084442D">
        <w:rPr>
          <w:rFonts w:ascii="Cambria" w:hAnsi="Cambria"/>
          <w:color w:val="000000"/>
        </w:rPr>
        <w:t>students</w:t>
      </w:r>
      <w:r w:rsidR="0084442D" w:rsidRPr="0084442D">
        <w:rPr>
          <w:rFonts w:ascii="Cambria" w:hAnsi="Cambria"/>
          <w:color w:val="000000"/>
        </w:rPr>
        <w:t xml:space="preserve"> </w:t>
      </w:r>
      <w:r w:rsidR="00C56E60">
        <w:rPr>
          <w:rFonts w:ascii="Cambria" w:hAnsi="Cambria"/>
          <w:color w:val="000000"/>
        </w:rPr>
        <w:t>(</w:t>
      </w:r>
      <w:r w:rsidR="0084442D" w:rsidRPr="0084442D">
        <w:rPr>
          <w:rFonts w:ascii="Cambria" w:hAnsi="Cambria"/>
          <w:color w:val="000000"/>
        </w:rPr>
        <w:t>1.</w:t>
      </w:r>
      <w:r w:rsidR="0084442D">
        <w:rPr>
          <w:rFonts w:ascii="Cambria" w:hAnsi="Cambria"/>
          <w:color w:val="000000"/>
        </w:rPr>
        <w:t>9</w:t>
      </w:r>
      <w:r w:rsidR="00C56E60">
        <w:rPr>
          <w:rFonts w:ascii="Cambria" w:hAnsi="Cambria"/>
          <w:color w:val="000000"/>
        </w:rPr>
        <w:t>%)</w:t>
      </w:r>
      <w:r w:rsidR="009238FB">
        <w:rPr>
          <w:rFonts w:ascii="Cambria" w:hAnsi="Cambria"/>
          <w:color w:val="000000"/>
        </w:rPr>
        <w:t xml:space="preserve"> had missi</w:t>
      </w:r>
      <w:r w:rsidR="00C56E60">
        <w:rPr>
          <w:rFonts w:ascii="Cambria" w:hAnsi="Cambria"/>
          <w:color w:val="000000"/>
        </w:rPr>
        <w:t xml:space="preserve">ng data on the </w:t>
      </w:r>
      <w:r w:rsidR="00844B8A">
        <w:rPr>
          <w:rFonts w:ascii="Cambria" w:hAnsi="Cambria"/>
          <w:color w:val="000000"/>
        </w:rPr>
        <w:t xml:space="preserve">main </w:t>
      </w:r>
      <w:r w:rsidR="00C56E60">
        <w:rPr>
          <w:rFonts w:ascii="Cambria" w:hAnsi="Cambria"/>
          <w:color w:val="000000"/>
        </w:rPr>
        <w:t>variable</w:t>
      </w:r>
      <w:r w:rsidR="009238FB">
        <w:rPr>
          <w:rFonts w:ascii="Cambria" w:hAnsi="Cambria"/>
          <w:color w:val="000000"/>
        </w:rPr>
        <w:t xml:space="preserve"> used to </w:t>
      </w:r>
      <w:r w:rsidR="00C56E60">
        <w:rPr>
          <w:rFonts w:ascii="Cambria" w:hAnsi="Cambria"/>
          <w:color w:val="000000"/>
        </w:rPr>
        <w:t xml:space="preserve">identify </w:t>
      </w:r>
      <w:r w:rsidR="009238FB">
        <w:rPr>
          <w:rFonts w:ascii="Cambria" w:hAnsi="Cambria"/>
          <w:color w:val="000000"/>
        </w:rPr>
        <w:t>transfer</w:t>
      </w:r>
      <w:r w:rsidR="00C56E60">
        <w:rPr>
          <w:rFonts w:ascii="Cambria" w:hAnsi="Cambria"/>
          <w:color w:val="000000"/>
        </w:rPr>
        <w:t xml:space="preserve"> students</w:t>
      </w:r>
      <w:r w:rsidR="00844B8A">
        <w:rPr>
          <w:rFonts w:ascii="Cambria" w:hAnsi="Cambria"/>
          <w:color w:val="000000"/>
        </w:rPr>
        <w:t xml:space="preserve"> – student’s previous institution prior to applying to UofT.  </w:t>
      </w:r>
      <w:r>
        <w:rPr>
          <w:rFonts w:ascii="Cambria" w:hAnsi="Cambria"/>
          <w:color w:val="000000"/>
        </w:rPr>
        <w:t xml:space="preserve">Thus, about 2% of the population have unknown transfer status, and are therefore not included in any analyses. </w:t>
      </w:r>
      <w:r w:rsidR="00844B8A">
        <w:rPr>
          <w:rFonts w:ascii="Cambria" w:hAnsi="Cambria"/>
          <w:color w:val="000000"/>
        </w:rPr>
        <w:t>Second,</w:t>
      </w:r>
      <w:r w:rsidR="008F2135">
        <w:rPr>
          <w:rFonts w:ascii="Cambria" w:hAnsi="Cambria"/>
          <w:color w:val="000000"/>
        </w:rPr>
        <w:t xml:space="preserve"> the cohort identifier </w:t>
      </w:r>
      <w:r w:rsidR="0009037F">
        <w:rPr>
          <w:rFonts w:ascii="Cambria" w:hAnsi="Cambria"/>
          <w:color w:val="000000"/>
        </w:rPr>
        <w:t xml:space="preserve">variable </w:t>
      </w:r>
      <w:r w:rsidR="008F2135">
        <w:rPr>
          <w:rFonts w:ascii="Cambria" w:hAnsi="Cambria"/>
          <w:color w:val="000000"/>
        </w:rPr>
        <w:t>had a substantial amount of missing data (3,751 cases, representing 20.6% of all undergraduates).</w:t>
      </w:r>
      <w:r w:rsidR="006658F5">
        <w:rPr>
          <w:rFonts w:ascii="Cambria" w:hAnsi="Cambria"/>
          <w:color w:val="000000"/>
        </w:rPr>
        <w:t xml:space="preserve"> </w:t>
      </w:r>
      <w:r w:rsidR="00844B8A">
        <w:rPr>
          <w:rFonts w:ascii="Cambria" w:hAnsi="Cambria"/>
          <w:color w:val="000000"/>
        </w:rPr>
        <w:t xml:space="preserve">The latter </w:t>
      </w:r>
      <w:r>
        <w:rPr>
          <w:rFonts w:ascii="Cambria" w:hAnsi="Cambria"/>
          <w:color w:val="000000"/>
        </w:rPr>
        <w:t xml:space="preserve">could be </w:t>
      </w:r>
      <w:r w:rsidR="00844B8A">
        <w:rPr>
          <w:rFonts w:ascii="Cambria" w:hAnsi="Cambria"/>
          <w:color w:val="000000"/>
        </w:rPr>
        <w:t xml:space="preserve">important </w:t>
      </w:r>
      <w:r>
        <w:rPr>
          <w:rFonts w:ascii="Cambria" w:hAnsi="Cambria"/>
          <w:color w:val="000000"/>
        </w:rPr>
        <w:t xml:space="preserve">for analyzing transfer students since </w:t>
      </w:r>
      <w:r w:rsidR="00C86C4F">
        <w:rPr>
          <w:rFonts w:ascii="Cambria" w:hAnsi="Cambria"/>
          <w:color w:val="000000"/>
        </w:rPr>
        <w:t xml:space="preserve">transfer can be a protracted process that requires some years, </w:t>
      </w:r>
      <w:r>
        <w:rPr>
          <w:rFonts w:ascii="Cambria" w:hAnsi="Cambria"/>
          <w:color w:val="000000"/>
        </w:rPr>
        <w:t xml:space="preserve">and since </w:t>
      </w:r>
      <w:r w:rsidR="00C86C4F">
        <w:rPr>
          <w:rFonts w:ascii="Cambria" w:hAnsi="Cambria"/>
          <w:color w:val="000000"/>
        </w:rPr>
        <w:t xml:space="preserve">later cohorts </w:t>
      </w:r>
      <w:r>
        <w:rPr>
          <w:rFonts w:ascii="Cambria" w:hAnsi="Cambria"/>
          <w:color w:val="000000"/>
        </w:rPr>
        <w:t xml:space="preserve">were tracked for shorter periods of time than were earlier cohorts. Cohorts can affect analyses of transfers students in 2 ways. First, some would-be transfer students may not have yet emerged among new cohorts if they require further time to complete their transfer process, and so some transfer students may remain undetected in later cohorts. Second, since later cohorts have had less time to complete their studies, they are likelier to have </w:t>
      </w:r>
      <w:r w:rsidR="00E212F2">
        <w:rPr>
          <w:rFonts w:ascii="Cambria" w:hAnsi="Cambria"/>
          <w:color w:val="000000"/>
        </w:rPr>
        <w:lastRenderedPageBreak/>
        <w:t xml:space="preserve">not graduated within the timelines of the data collection. Having missing data on the cohort identifier could therefore add uncertainty to any analyses in which cohort provides a key source of variation. </w:t>
      </w:r>
      <w:r w:rsidR="006658F5">
        <w:rPr>
          <w:rFonts w:ascii="Cambria" w:hAnsi="Cambria"/>
          <w:color w:val="000000"/>
        </w:rPr>
        <w:t xml:space="preserve">Fortunately, </w:t>
      </w:r>
      <w:r w:rsidR="00E212F2">
        <w:rPr>
          <w:rFonts w:ascii="Cambria" w:hAnsi="Cambria"/>
          <w:color w:val="000000"/>
        </w:rPr>
        <w:t xml:space="preserve">it is doubtful that either source of missingness have had large impacts on the analyses. As discussed in my first report, it is very doubtful that many, if any, students with missing data for their “latest institution” were transfer students. A series of analyses suggest very strongly that those students took unconventional paths from high school into UofT, often moving through adult education centers and entering transitional year programs, rather than transferring from other postsecondary institutions. And, in contrast to the first report’s TDSB Grade 9 cohort design, students with missing data on their previous institution in the TDSB Grade 12 cohorts had almost identical </w:t>
      </w:r>
      <w:r w:rsidR="006658F5">
        <w:rPr>
          <w:rFonts w:ascii="Cambria" w:hAnsi="Cambria"/>
          <w:color w:val="000000"/>
        </w:rPr>
        <w:t>entrance date</w:t>
      </w:r>
      <w:r w:rsidR="00E212F2">
        <w:rPr>
          <w:rFonts w:ascii="Cambria" w:hAnsi="Cambria"/>
          <w:color w:val="000000"/>
        </w:rPr>
        <w:t>s</w:t>
      </w:r>
      <w:r w:rsidR="006658F5">
        <w:rPr>
          <w:rFonts w:ascii="Cambria" w:hAnsi="Cambria"/>
          <w:color w:val="000000"/>
        </w:rPr>
        <w:t xml:space="preserve"> into UofT </w:t>
      </w:r>
      <w:r w:rsidR="00C273D4">
        <w:rPr>
          <w:rFonts w:ascii="Cambria" w:hAnsi="Cambria"/>
          <w:color w:val="000000"/>
        </w:rPr>
        <w:t>compared to those with recorded previous institutions</w:t>
      </w:r>
      <w:r w:rsidR="006658F5">
        <w:rPr>
          <w:rFonts w:ascii="Cambria" w:hAnsi="Cambria"/>
          <w:color w:val="000000"/>
        </w:rPr>
        <w:t>, thus suggesting no particular tendency for those with missing data to be in earlier or later cohorts.</w:t>
      </w:r>
      <w:r w:rsidR="0084442D">
        <w:rPr>
          <w:rFonts w:ascii="Cambria" w:hAnsi="Cambria"/>
          <w:color w:val="000000"/>
        </w:rPr>
        <w:t xml:space="preserve">  S</w:t>
      </w:r>
      <w:r w:rsidR="0032155D">
        <w:rPr>
          <w:rFonts w:ascii="Cambria" w:hAnsi="Cambria"/>
          <w:color w:val="000000"/>
        </w:rPr>
        <w:t xml:space="preserve">ee Appendix </w:t>
      </w:r>
      <w:r w:rsidR="004C26E0">
        <w:rPr>
          <w:rFonts w:ascii="Cambria" w:hAnsi="Cambria"/>
          <w:color w:val="000000"/>
        </w:rPr>
        <w:t>1</w:t>
      </w:r>
      <w:r w:rsidR="00C56E60">
        <w:rPr>
          <w:rFonts w:ascii="Cambria" w:hAnsi="Cambria"/>
          <w:color w:val="000000"/>
        </w:rPr>
        <w:t xml:space="preserve"> for </w:t>
      </w:r>
      <w:r>
        <w:rPr>
          <w:rFonts w:ascii="Cambria" w:hAnsi="Cambria"/>
          <w:color w:val="000000"/>
        </w:rPr>
        <w:t xml:space="preserve">further discussion of these </w:t>
      </w:r>
      <w:r w:rsidR="009238FB">
        <w:rPr>
          <w:rFonts w:ascii="Cambria" w:hAnsi="Cambria"/>
          <w:color w:val="000000"/>
        </w:rPr>
        <w:t>mis</w:t>
      </w:r>
      <w:r w:rsidR="00C56E60">
        <w:rPr>
          <w:rFonts w:ascii="Cambria" w:hAnsi="Cambria"/>
          <w:color w:val="000000"/>
        </w:rPr>
        <w:t>sing data</w:t>
      </w:r>
      <w:r w:rsidR="009238FB">
        <w:rPr>
          <w:rFonts w:ascii="Cambria" w:hAnsi="Cambria"/>
          <w:color w:val="000000"/>
        </w:rPr>
        <w:t>. </w:t>
      </w:r>
      <w:r w:rsidR="008324FE">
        <w:rPr>
          <w:rFonts w:ascii="Cambria" w:hAnsi="Cambria"/>
          <w:color w:val="000000"/>
        </w:rPr>
        <w:t xml:space="preserve"> </w:t>
      </w:r>
    </w:p>
    <w:p w14:paraId="3621F5BA" w14:textId="7172C3CA" w:rsidR="00D60D49" w:rsidRPr="008F2135" w:rsidRDefault="008F2135">
      <w:pPr>
        <w:spacing w:after="0"/>
        <w:ind w:left="120"/>
        <w:rPr>
          <w:rFonts w:ascii="Cambria" w:hAnsi="Cambria"/>
          <w:color w:val="000000"/>
        </w:rPr>
      </w:pPr>
      <w:r>
        <w:rPr>
          <w:rFonts w:ascii="Cambria" w:hAnsi="Cambria"/>
          <w:color w:val="000000"/>
        </w:rPr>
        <w:tab/>
        <w:t xml:space="preserve">Figure 1 shows that while mean levels of transfer status are lower in later cohorts, their confidence intervals overlaps, and thus there are not statistically significant trends across </w:t>
      </w:r>
      <w:r w:rsidR="005C7991">
        <w:rPr>
          <w:rFonts w:ascii="Cambria" w:hAnsi="Cambria"/>
          <w:color w:val="000000"/>
        </w:rPr>
        <w:t>cohorts</w:t>
      </w:r>
      <w:r>
        <w:rPr>
          <w:rFonts w:ascii="Cambria" w:hAnsi="Cambria"/>
          <w:color w:val="000000"/>
        </w:rPr>
        <w:t xml:space="preserve"> in transfer status.   </w:t>
      </w:r>
      <w:r w:rsidR="005C7991">
        <w:rPr>
          <w:rFonts w:ascii="Cambria" w:hAnsi="Cambria"/>
          <w:color w:val="000000"/>
        </w:rPr>
        <w:t>Among the 6 main sizeable cohorts, transfer rates were</w:t>
      </w:r>
      <w:r>
        <w:rPr>
          <w:rFonts w:ascii="Cambria" w:hAnsi="Cambria"/>
          <w:color w:val="000000"/>
        </w:rPr>
        <w:t xml:space="preserve"> </w:t>
      </w:r>
      <w:r w:rsidR="005C7991">
        <w:rPr>
          <w:rFonts w:ascii="Cambria" w:hAnsi="Cambria"/>
          <w:color w:val="000000"/>
        </w:rPr>
        <w:t>1.6, 1.8, 1.2, 1.7, 1.1,</w:t>
      </w:r>
      <w:r>
        <w:rPr>
          <w:rFonts w:ascii="Cambria" w:hAnsi="Cambria"/>
          <w:color w:val="000000"/>
        </w:rPr>
        <w:t xml:space="preserve"> and</w:t>
      </w:r>
      <w:r w:rsidR="005C7991">
        <w:rPr>
          <w:rFonts w:ascii="Cambria" w:hAnsi="Cambria"/>
          <w:color w:val="000000"/>
        </w:rPr>
        <w:t xml:space="preserve"> 0.9.</w:t>
      </w:r>
      <w:r>
        <w:rPr>
          <w:rFonts w:ascii="Cambria" w:hAnsi="Cambria"/>
          <w:color w:val="000000"/>
        </w:rPr>
        <w:t xml:space="preserve"> Thus, u</w:t>
      </w:r>
      <w:r w:rsidR="005C7991">
        <w:rPr>
          <w:rFonts w:ascii="Cambria" w:hAnsi="Cambria"/>
          <w:color w:val="000000"/>
        </w:rPr>
        <w:t xml:space="preserve">nlike the previous Grade 9 linkage, student cohort played a small role in the current Grade 12 linkage. </w:t>
      </w:r>
      <w:r w:rsidR="00341B70">
        <w:rPr>
          <w:rFonts w:ascii="Cambria" w:hAnsi="Cambria"/>
          <w:color w:val="000000"/>
        </w:rPr>
        <w:t xml:space="preserve">Its </w:t>
      </w:r>
      <w:r w:rsidR="005C7991">
        <w:rPr>
          <w:rFonts w:ascii="Cambria" w:hAnsi="Cambria"/>
          <w:color w:val="000000"/>
        </w:rPr>
        <w:t xml:space="preserve">3 earliest cohorts (students in grade 12 during the falls of 2003, 2004 and 2005) and </w:t>
      </w:r>
      <w:r w:rsidR="00341B70">
        <w:rPr>
          <w:rFonts w:ascii="Cambria" w:hAnsi="Cambria"/>
          <w:color w:val="000000"/>
        </w:rPr>
        <w:t xml:space="preserve">its </w:t>
      </w:r>
      <w:r w:rsidR="005C7991">
        <w:rPr>
          <w:rFonts w:ascii="Cambria" w:hAnsi="Cambria"/>
          <w:color w:val="000000"/>
        </w:rPr>
        <w:t xml:space="preserve">latest cohort (in grade 12 in 2012) </w:t>
      </w:r>
      <w:r w:rsidR="00341B70">
        <w:rPr>
          <w:rFonts w:ascii="Cambria" w:hAnsi="Cambria"/>
          <w:color w:val="000000"/>
        </w:rPr>
        <w:t xml:space="preserve">had </w:t>
      </w:r>
      <w:r w:rsidR="005C7991">
        <w:rPr>
          <w:rFonts w:ascii="Cambria" w:hAnsi="Cambria"/>
          <w:color w:val="000000"/>
        </w:rPr>
        <w:t>very small</w:t>
      </w:r>
      <w:r>
        <w:rPr>
          <w:rFonts w:ascii="Cambria" w:hAnsi="Cambria"/>
          <w:color w:val="000000"/>
        </w:rPr>
        <w:t xml:space="preserve"> numbers and thus had limited impacts on pooled results</w:t>
      </w:r>
      <w:r w:rsidR="005C7991">
        <w:rPr>
          <w:rFonts w:ascii="Cambria" w:hAnsi="Cambria"/>
          <w:color w:val="000000"/>
        </w:rPr>
        <w:t>.</w:t>
      </w:r>
      <w:r>
        <w:rPr>
          <w:rFonts w:ascii="Cambria" w:hAnsi="Cambria"/>
          <w:color w:val="000000"/>
        </w:rPr>
        <w:t xml:space="preserve">  </w:t>
      </w:r>
      <w:r w:rsidR="00341B70">
        <w:rPr>
          <w:rFonts w:ascii="Cambria" w:hAnsi="Cambria"/>
          <w:color w:val="000000"/>
        </w:rPr>
        <w:t>Thus, the newer cohorts did have lower transfer rates, but it</w:t>
      </w:r>
      <w:r w:rsidR="005C7991">
        <w:rPr>
          <w:rFonts w:ascii="Cambria" w:hAnsi="Cambria"/>
          <w:color w:val="000000"/>
        </w:rPr>
        <w:t xml:space="preserve"> is difficult to ascertain whether </w:t>
      </w:r>
      <w:r w:rsidR="00341B70">
        <w:rPr>
          <w:rFonts w:ascii="Cambria" w:hAnsi="Cambria"/>
          <w:color w:val="000000"/>
        </w:rPr>
        <w:t>those</w:t>
      </w:r>
      <w:r w:rsidR="005C7991">
        <w:rPr>
          <w:rFonts w:ascii="Cambria" w:hAnsi="Cambria"/>
          <w:color w:val="000000"/>
        </w:rPr>
        <w:t xml:space="preserve"> differences reflect “age effect</w:t>
      </w:r>
      <w:r>
        <w:rPr>
          <w:rFonts w:ascii="Cambria" w:hAnsi="Cambria"/>
          <w:color w:val="000000"/>
        </w:rPr>
        <w:t>s</w:t>
      </w:r>
      <w:r w:rsidR="005C7991">
        <w:rPr>
          <w:rFonts w:ascii="Cambria" w:hAnsi="Cambria"/>
          <w:color w:val="000000"/>
        </w:rPr>
        <w:t>” – in which students in earlier cohorts simply have more time to engage in transfer – or “cohort effect</w:t>
      </w:r>
      <w:r>
        <w:rPr>
          <w:rFonts w:ascii="Cambria" w:hAnsi="Cambria"/>
          <w:color w:val="000000"/>
        </w:rPr>
        <w:t>s</w:t>
      </w:r>
      <w:r w:rsidR="005C7991">
        <w:rPr>
          <w:rFonts w:ascii="Cambria" w:hAnsi="Cambria"/>
          <w:color w:val="000000"/>
        </w:rPr>
        <w:t>” - in which newer cohorts of students transfer at lower rates.</w:t>
      </w:r>
      <w:r>
        <w:rPr>
          <w:rFonts w:ascii="Cambria" w:hAnsi="Cambria"/>
          <w:color w:val="000000"/>
        </w:rPr>
        <w:t xml:space="preserve"> </w:t>
      </w:r>
      <w:r w:rsidR="00341B70">
        <w:rPr>
          <w:rFonts w:ascii="Cambria" w:hAnsi="Cambria"/>
          <w:color w:val="000000"/>
        </w:rPr>
        <w:t xml:space="preserve">In any event, </w:t>
      </w:r>
      <w:r w:rsidR="00D60D49">
        <w:rPr>
          <w:rFonts w:ascii="Cambria" w:hAnsi="Cambria"/>
          <w:color w:val="000000"/>
        </w:rPr>
        <w:t xml:space="preserve">the study’s timeframe followed the newest cohort for over 9 years after it entered grade 12, and </w:t>
      </w:r>
      <w:r w:rsidR="00341B70">
        <w:rPr>
          <w:rFonts w:ascii="Cambria" w:hAnsi="Cambria"/>
          <w:color w:val="000000"/>
        </w:rPr>
        <w:t>so it is likely that very few more of its students would have transferred afterwards, and only small number would have graduated.</w:t>
      </w:r>
      <w:r w:rsidR="00341B70" w:rsidRPr="00341B70">
        <w:rPr>
          <w:rStyle w:val="EndnoteReference"/>
          <w:rFonts w:ascii="Cambria" w:hAnsi="Cambria"/>
          <w:color w:val="000000"/>
        </w:rPr>
        <w:t xml:space="preserve"> </w:t>
      </w:r>
      <w:r w:rsidR="00341B70">
        <w:rPr>
          <w:rStyle w:val="EndnoteReference"/>
          <w:rFonts w:ascii="Cambria" w:hAnsi="Cambria"/>
          <w:color w:val="000000"/>
        </w:rPr>
        <w:endnoteReference w:id="1"/>
      </w:r>
      <w:r w:rsidR="00D60D49">
        <w:rPr>
          <w:rFonts w:ascii="Cambria" w:hAnsi="Cambria"/>
          <w:color w:val="000000"/>
        </w:rPr>
        <w:t xml:space="preserve"> </w:t>
      </w:r>
    </w:p>
    <w:p w14:paraId="62527B08" w14:textId="1146BC46" w:rsidR="00D60D49" w:rsidRDefault="00D60D49">
      <w:pPr>
        <w:spacing w:after="0"/>
        <w:ind w:left="120"/>
      </w:pPr>
    </w:p>
    <w:p w14:paraId="027D8F96" w14:textId="77777777" w:rsidR="003F146D" w:rsidRDefault="003C1BA5" w:rsidP="003C1BA5">
      <w:pPr>
        <w:spacing w:after="0"/>
        <w:ind w:left="120"/>
        <w:rPr>
          <w:rFonts w:ascii="Cambria" w:hAnsi="Cambria"/>
          <w:color w:val="000000"/>
        </w:rPr>
      </w:pPr>
      <w:r>
        <w:rPr>
          <w:rFonts w:ascii="Cambria" w:hAnsi="Cambria"/>
          <w:b/>
          <w:color w:val="000000"/>
        </w:rPr>
        <w:t>Measures</w:t>
      </w:r>
      <w:r>
        <w:rPr>
          <w:rFonts w:ascii="Cambria" w:hAnsi="Cambria"/>
          <w:color w:val="000000"/>
        </w:rPr>
        <w:t>:</w:t>
      </w:r>
    </w:p>
    <w:p w14:paraId="54C8A87B" w14:textId="097DF709" w:rsidR="003C1BA5" w:rsidRDefault="003F146D" w:rsidP="003C1BA5">
      <w:pPr>
        <w:spacing w:after="0"/>
        <w:ind w:left="120"/>
      </w:pPr>
      <w:r>
        <w:rPr>
          <w:rFonts w:ascii="Cambria" w:hAnsi="Cambria"/>
          <w:color w:val="000000"/>
        </w:rPr>
        <w:tab/>
      </w:r>
      <w:r w:rsidR="003C1BA5">
        <w:rPr>
          <w:rFonts w:ascii="Cambria" w:hAnsi="Cambria"/>
          <w:color w:val="000000"/>
        </w:rPr>
        <w:t>The</w:t>
      </w:r>
      <w:r w:rsidR="00E753E9">
        <w:rPr>
          <w:rFonts w:ascii="Cambria" w:hAnsi="Cambria"/>
          <w:color w:val="000000"/>
        </w:rPr>
        <w:t xml:space="preserve"> </w:t>
      </w:r>
      <w:r w:rsidR="003C1BA5">
        <w:rPr>
          <w:rFonts w:ascii="Cambria" w:hAnsi="Cambria"/>
          <w:color w:val="000000"/>
        </w:rPr>
        <w:t xml:space="preserve">analyses in this report drew on </w:t>
      </w:r>
      <w:r w:rsidR="004A4A75">
        <w:rPr>
          <w:rFonts w:ascii="Cambria" w:hAnsi="Cambria"/>
          <w:color w:val="000000"/>
        </w:rPr>
        <w:t>5</w:t>
      </w:r>
      <w:r w:rsidR="003C1BA5">
        <w:rPr>
          <w:rFonts w:ascii="Cambria" w:hAnsi="Cambria"/>
          <w:color w:val="000000"/>
        </w:rPr>
        <w:t xml:space="preserve"> groups of variables:</w:t>
      </w:r>
    </w:p>
    <w:p w14:paraId="30F455C5" w14:textId="17DD16A8" w:rsidR="003C1BA5" w:rsidRDefault="003C1BA5" w:rsidP="003C1BA5">
      <w:pPr>
        <w:spacing w:after="0"/>
        <w:ind w:left="120"/>
      </w:pPr>
      <w:r>
        <w:rPr>
          <w:rFonts w:ascii="Cambria" w:hAnsi="Cambria"/>
          <w:color w:val="000000"/>
        </w:rPr>
        <w:t>a)  High School academic records</w:t>
      </w:r>
      <w:r w:rsidR="00D73966">
        <w:rPr>
          <w:rFonts w:ascii="Cambria" w:hAnsi="Cambria"/>
          <w:color w:val="000000"/>
        </w:rPr>
        <w:t>:</w:t>
      </w:r>
      <w:r>
        <w:rPr>
          <w:rFonts w:ascii="Cambria" w:hAnsi="Cambria"/>
          <w:color w:val="000000"/>
        </w:rPr>
        <w:t xml:space="preserve"> </w:t>
      </w:r>
      <w:r w:rsidR="0084442D">
        <w:rPr>
          <w:rFonts w:ascii="Cambria" w:hAnsi="Cambria"/>
          <w:color w:val="000000"/>
        </w:rPr>
        <w:t xml:space="preserve">Key variables include </w:t>
      </w:r>
      <w:r w:rsidR="00D73966">
        <w:rPr>
          <w:rFonts w:ascii="Cambria" w:hAnsi="Cambria"/>
          <w:color w:val="000000"/>
        </w:rPr>
        <w:t xml:space="preserve">average high school </w:t>
      </w:r>
      <w:r>
        <w:rPr>
          <w:rFonts w:ascii="Cambria" w:hAnsi="Cambria"/>
          <w:color w:val="000000"/>
        </w:rPr>
        <w:t xml:space="preserve">grades, </w:t>
      </w:r>
      <w:r w:rsidR="00D73966">
        <w:rPr>
          <w:rFonts w:ascii="Cambria" w:hAnsi="Cambria"/>
          <w:color w:val="000000"/>
        </w:rPr>
        <w:t xml:space="preserve">days </w:t>
      </w:r>
      <w:r>
        <w:rPr>
          <w:rFonts w:ascii="Cambria" w:hAnsi="Cambria"/>
          <w:color w:val="000000"/>
        </w:rPr>
        <w:t xml:space="preserve">absent, </w:t>
      </w:r>
      <w:r w:rsidR="00D73966">
        <w:rPr>
          <w:rFonts w:ascii="Cambria" w:hAnsi="Cambria"/>
          <w:color w:val="000000"/>
        </w:rPr>
        <w:t>whether a student had ever been suspended in high school</w:t>
      </w:r>
      <w:r>
        <w:rPr>
          <w:rFonts w:ascii="Cambria" w:hAnsi="Cambria"/>
          <w:color w:val="000000"/>
        </w:rPr>
        <w:t xml:space="preserve">, </w:t>
      </w:r>
      <w:r w:rsidR="00D73966">
        <w:rPr>
          <w:rFonts w:ascii="Cambria" w:hAnsi="Cambria"/>
          <w:color w:val="000000"/>
        </w:rPr>
        <w:t>whether</w:t>
      </w:r>
      <w:r>
        <w:rPr>
          <w:rFonts w:ascii="Cambria" w:hAnsi="Cambria"/>
          <w:color w:val="000000"/>
        </w:rPr>
        <w:t xml:space="preserve"> they ever dropped out</w:t>
      </w:r>
      <w:r w:rsidR="00D73966">
        <w:rPr>
          <w:rFonts w:ascii="Cambria" w:hAnsi="Cambria"/>
          <w:color w:val="000000"/>
        </w:rPr>
        <w:t xml:space="preserve"> of high school</w:t>
      </w:r>
      <w:r>
        <w:rPr>
          <w:rFonts w:ascii="Cambria" w:hAnsi="Cambria"/>
          <w:color w:val="000000"/>
        </w:rPr>
        <w:t xml:space="preserve">, </w:t>
      </w:r>
      <w:r w:rsidR="00D73966">
        <w:rPr>
          <w:rFonts w:ascii="Cambria" w:hAnsi="Cambria"/>
          <w:color w:val="000000"/>
        </w:rPr>
        <w:t xml:space="preserve">and </w:t>
      </w:r>
      <w:r w:rsidR="0084442D">
        <w:rPr>
          <w:rFonts w:ascii="Cambria" w:hAnsi="Cambria"/>
          <w:color w:val="000000"/>
        </w:rPr>
        <w:t>whether they were listed as being gifted or having special needs</w:t>
      </w:r>
      <w:r w:rsidR="00E753E9">
        <w:rPr>
          <w:rFonts w:ascii="Cambria" w:hAnsi="Cambria"/>
          <w:color w:val="000000"/>
        </w:rPr>
        <w:t>.</w:t>
      </w:r>
    </w:p>
    <w:p w14:paraId="288B2D4D" w14:textId="4E126ECF" w:rsidR="003C1BA5" w:rsidRDefault="003C1BA5" w:rsidP="003C1BA5">
      <w:pPr>
        <w:spacing w:after="0"/>
        <w:ind w:left="120"/>
      </w:pPr>
      <w:r>
        <w:rPr>
          <w:rFonts w:ascii="Cambria" w:hAnsi="Cambria"/>
          <w:color w:val="000000"/>
        </w:rPr>
        <w:t>b) Student Demographics</w:t>
      </w:r>
      <w:r w:rsidR="00D73966">
        <w:rPr>
          <w:rFonts w:ascii="Cambria" w:hAnsi="Cambria"/>
          <w:color w:val="000000"/>
        </w:rPr>
        <w:t>:</w:t>
      </w:r>
      <w:r>
        <w:rPr>
          <w:rFonts w:ascii="Cambria" w:hAnsi="Cambria"/>
          <w:color w:val="000000"/>
        </w:rPr>
        <w:t xml:space="preserve"> </w:t>
      </w:r>
      <w:r w:rsidR="0084442D">
        <w:rPr>
          <w:rFonts w:ascii="Cambria" w:hAnsi="Cambria"/>
          <w:color w:val="000000"/>
        </w:rPr>
        <w:t xml:space="preserve">All measured in high school, key variables include </w:t>
      </w:r>
      <w:r>
        <w:rPr>
          <w:rFonts w:ascii="Cambria" w:hAnsi="Cambria"/>
          <w:color w:val="000000"/>
        </w:rPr>
        <w:t xml:space="preserve">gender, </w:t>
      </w:r>
      <w:r w:rsidR="00D73966">
        <w:rPr>
          <w:rFonts w:ascii="Cambria" w:hAnsi="Cambria"/>
          <w:color w:val="000000"/>
        </w:rPr>
        <w:t xml:space="preserve">self-identified </w:t>
      </w:r>
      <w:r>
        <w:rPr>
          <w:rFonts w:ascii="Cambria" w:hAnsi="Cambria"/>
          <w:color w:val="000000"/>
        </w:rPr>
        <w:t xml:space="preserve">race, </w:t>
      </w:r>
      <w:r w:rsidR="0084442D">
        <w:rPr>
          <w:rFonts w:ascii="Cambria" w:hAnsi="Cambria"/>
          <w:color w:val="000000"/>
        </w:rPr>
        <w:t xml:space="preserve">country of </w:t>
      </w:r>
      <w:r>
        <w:rPr>
          <w:rFonts w:ascii="Cambria" w:hAnsi="Cambria"/>
          <w:color w:val="000000"/>
        </w:rPr>
        <w:t>birth, language spoken at home, sexual orientation</w:t>
      </w:r>
      <w:r w:rsidR="0084442D">
        <w:rPr>
          <w:rFonts w:ascii="Cambria" w:hAnsi="Cambria"/>
          <w:color w:val="000000"/>
        </w:rPr>
        <w:t>, parental education and parental occupation</w:t>
      </w:r>
      <w:r>
        <w:rPr>
          <w:rFonts w:ascii="Cambria" w:hAnsi="Cambria"/>
          <w:color w:val="000000"/>
        </w:rPr>
        <w:t> </w:t>
      </w:r>
    </w:p>
    <w:p w14:paraId="0BA2EF85" w14:textId="25CEF1F3" w:rsidR="004A4A75" w:rsidRDefault="003C1BA5" w:rsidP="003C1BA5">
      <w:pPr>
        <w:spacing w:after="0"/>
        <w:ind w:left="120"/>
        <w:rPr>
          <w:rFonts w:ascii="Cambria" w:hAnsi="Cambria"/>
          <w:color w:val="000000"/>
        </w:rPr>
      </w:pPr>
      <w:r>
        <w:rPr>
          <w:rFonts w:ascii="Cambria" w:hAnsi="Cambria"/>
          <w:color w:val="000000"/>
        </w:rPr>
        <w:t xml:space="preserve">c) </w:t>
      </w:r>
      <w:r w:rsidR="0084442D">
        <w:rPr>
          <w:rFonts w:ascii="Cambria" w:hAnsi="Cambria"/>
          <w:color w:val="000000"/>
        </w:rPr>
        <w:t xml:space="preserve">Student’s previous </w:t>
      </w:r>
      <w:r>
        <w:rPr>
          <w:rFonts w:ascii="Cambria" w:hAnsi="Cambria"/>
          <w:color w:val="000000"/>
        </w:rPr>
        <w:t>institution</w:t>
      </w:r>
      <w:r w:rsidR="0084442D">
        <w:rPr>
          <w:rFonts w:ascii="Cambria" w:hAnsi="Cambria"/>
          <w:color w:val="000000"/>
        </w:rPr>
        <w:t>: This variable was re</w:t>
      </w:r>
      <w:r w:rsidR="00D73966">
        <w:rPr>
          <w:rFonts w:ascii="Cambria" w:hAnsi="Cambria"/>
          <w:color w:val="000000"/>
        </w:rPr>
        <w:t>co</w:t>
      </w:r>
      <w:r w:rsidR="0084442D">
        <w:rPr>
          <w:rFonts w:ascii="Cambria" w:hAnsi="Cambria"/>
          <w:color w:val="000000"/>
        </w:rPr>
        <w:t>r</w:t>
      </w:r>
      <w:r w:rsidR="00D73966">
        <w:rPr>
          <w:rFonts w:ascii="Cambria" w:hAnsi="Cambria"/>
          <w:color w:val="000000"/>
        </w:rPr>
        <w:t xml:space="preserve">ded </w:t>
      </w:r>
      <w:r w:rsidR="0084442D">
        <w:rPr>
          <w:rFonts w:ascii="Cambria" w:hAnsi="Cambria"/>
          <w:color w:val="000000"/>
        </w:rPr>
        <w:t>by UofT; I coded these institutions as a secondary school or as a</w:t>
      </w:r>
      <w:r w:rsidR="00D73966">
        <w:rPr>
          <w:rFonts w:ascii="Cambria" w:hAnsi="Cambria"/>
          <w:color w:val="000000"/>
        </w:rPr>
        <w:t xml:space="preserve"> postsecondary </w:t>
      </w:r>
      <w:r w:rsidR="0084442D">
        <w:rPr>
          <w:rFonts w:ascii="Cambria" w:hAnsi="Cambria"/>
          <w:color w:val="000000"/>
        </w:rPr>
        <w:t xml:space="preserve">institution, </w:t>
      </w:r>
      <w:r w:rsidR="00470658">
        <w:rPr>
          <w:rFonts w:ascii="Cambria" w:hAnsi="Cambria"/>
          <w:color w:val="000000"/>
        </w:rPr>
        <w:t xml:space="preserve">and in </w:t>
      </w:r>
      <w:r w:rsidR="0084442D">
        <w:rPr>
          <w:rFonts w:ascii="Cambria" w:hAnsi="Cambria"/>
          <w:color w:val="000000"/>
        </w:rPr>
        <w:t xml:space="preserve">turn coded </w:t>
      </w:r>
      <w:r w:rsidR="00470658">
        <w:rPr>
          <w:rFonts w:ascii="Cambria" w:hAnsi="Cambria"/>
          <w:color w:val="000000"/>
        </w:rPr>
        <w:t xml:space="preserve">the latter </w:t>
      </w:r>
      <w:r w:rsidR="0084442D">
        <w:rPr>
          <w:rFonts w:ascii="Cambria" w:hAnsi="Cambria"/>
          <w:color w:val="000000"/>
        </w:rPr>
        <w:t xml:space="preserve">into the following categories: Ontario university, Ontario community college, other Canadian university, international university, private career college. </w:t>
      </w:r>
      <w:r w:rsidR="00470658">
        <w:rPr>
          <w:rFonts w:ascii="Cambria" w:hAnsi="Cambria"/>
          <w:color w:val="000000"/>
        </w:rPr>
        <w:t xml:space="preserve">Due to </w:t>
      </w:r>
      <w:r w:rsidR="0084442D">
        <w:rPr>
          <w:rFonts w:ascii="Cambria" w:hAnsi="Cambria"/>
          <w:color w:val="000000"/>
        </w:rPr>
        <w:t xml:space="preserve">very small numbers in the latter category, no formal analyses were conducted for </w:t>
      </w:r>
      <w:r w:rsidR="00470658">
        <w:rPr>
          <w:rFonts w:ascii="Cambria" w:hAnsi="Cambria"/>
          <w:color w:val="000000"/>
        </w:rPr>
        <w:t>former students of private career college</w:t>
      </w:r>
      <w:r w:rsidR="0084442D">
        <w:rPr>
          <w:rFonts w:ascii="Cambria" w:hAnsi="Cambria"/>
          <w:color w:val="000000"/>
        </w:rPr>
        <w:t>s.</w:t>
      </w:r>
    </w:p>
    <w:p w14:paraId="7E55A86D" w14:textId="0F24C116" w:rsidR="003C1BA5" w:rsidRPr="003C1BA5" w:rsidRDefault="004A4A75" w:rsidP="003C1BA5">
      <w:pPr>
        <w:spacing w:after="0"/>
        <w:ind w:left="120"/>
        <w:rPr>
          <w:rFonts w:ascii="Cambria" w:hAnsi="Cambria"/>
          <w:color w:val="000000"/>
        </w:rPr>
      </w:pPr>
      <w:r>
        <w:rPr>
          <w:rFonts w:ascii="Cambria" w:hAnsi="Cambria"/>
          <w:color w:val="000000"/>
        </w:rPr>
        <w:t xml:space="preserve">d) </w:t>
      </w:r>
      <w:r w:rsidR="0084442D">
        <w:rPr>
          <w:rFonts w:ascii="Cambria" w:hAnsi="Cambria"/>
          <w:color w:val="000000"/>
        </w:rPr>
        <w:t xml:space="preserve">UofT </w:t>
      </w:r>
      <w:r w:rsidR="00E3245A">
        <w:rPr>
          <w:rFonts w:ascii="Cambria" w:hAnsi="Cambria"/>
          <w:color w:val="000000"/>
        </w:rPr>
        <w:t>enrolment records</w:t>
      </w:r>
      <w:r w:rsidR="0084442D">
        <w:rPr>
          <w:rFonts w:ascii="Cambria" w:hAnsi="Cambria"/>
          <w:color w:val="000000"/>
        </w:rPr>
        <w:t xml:space="preserve">: </w:t>
      </w:r>
      <w:r>
        <w:rPr>
          <w:rFonts w:ascii="Cambria" w:hAnsi="Cambria"/>
          <w:color w:val="000000"/>
        </w:rPr>
        <w:t xml:space="preserve">The </w:t>
      </w:r>
      <w:r w:rsidR="0084442D">
        <w:rPr>
          <w:rFonts w:ascii="Cambria" w:hAnsi="Cambria"/>
          <w:color w:val="000000"/>
        </w:rPr>
        <w:t>following variables</w:t>
      </w:r>
      <w:r w:rsidR="00E3245A">
        <w:rPr>
          <w:rFonts w:ascii="Cambria" w:hAnsi="Cambria"/>
          <w:color w:val="000000"/>
        </w:rPr>
        <w:t xml:space="preserve"> </w:t>
      </w:r>
      <w:r w:rsidR="0084442D">
        <w:rPr>
          <w:rFonts w:ascii="Cambria" w:hAnsi="Cambria"/>
          <w:color w:val="000000"/>
        </w:rPr>
        <w:t xml:space="preserve">were used </w:t>
      </w:r>
      <w:r w:rsidR="00E3245A">
        <w:rPr>
          <w:rFonts w:ascii="Cambria" w:hAnsi="Cambria"/>
          <w:color w:val="000000"/>
        </w:rPr>
        <w:t xml:space="preserve">in analyses: the </w:t>
      </w:r>
      <w:r>
        <w:rPr>
          <w:rFonts w:ascii="Cambria" w:hAnsi="Cambria"/>
          <w:color w:val="000000"/>
        </w:rPr>
        <w:t>year students</w:t>
      </w:r>
      <w:r w:rsidR="00E3245A">
        <w:rPr>
          <w:rFonts w:ascii="Cambria" w:hAnsi="Cambria"/>
          <w:color w:val="000000"/>
        </w:rPr>
        <w:t xml:space="preserve"> initially</w:t>
      </w:r>
      <w:r>
        <w:rPr>
          <w:rFonts w:ascii="Cambria" w:hAnsi="Cambria"/>
          <w:color w:val="000000"/>
        </w:rPr>
        <w:t xml:space="preserve"> entered UofT, whether they were awarded transfer credits, and how many credits they were awarded</w:t>
      </w:r>
      <w:r w:rsidR="00470658">
        <w:rPr>
          <w:rFonts w:ascii="Cambria" w:hAnsi="Cambria"/>
          <w:color w:val="000000"/>
        </w:rPr>
        <w:t>.</w:t>
      </w:r>
      <w:r w:rsidR="00D73966">
        <w:rPr>
          <w:rFonts w:ascii="Cambria" w:hAnsi="Cambria"/>
          <w:color w:val="000000"/>
        </w:rPr>
        <w:t xml:space="preserve"> </w:t>
      </w:r>
    </w:p>
    <w:p w14:paraId="372B6C69" w14:textId="0265F13B" w:rsidR="003C1BA5" w:rsidRDefault="00470658" w:rsidP="003C1BA5">
      <w:pPr>
        <w:spacing w:after="0"/>
        <w:ind w:left="120"/>
      </w:pPr>
      <w:r>
        <w:rPr>
          <w:rFonts w:ascii="Cambria" w:hAnsi="Cambria"/>
          <w:color w:val="000000"/>
        </w:rPr>
        <w:lastRenderedPageBreak/>
        <w:t>e</w:t>
      </w:r>
      <w:r w:rsidR="003C1BA5">
        <w:rPr>
          <w:rFonts w:ascii="Cambria" w:hAnsi="Cambria"/>
          <w:color w:val="000000"/>
        </w:rPr>
        <w:t>) UofT student outcomes</w:t>
      </w:r>
      <w:r w:rsidR="00D73966">
        <w:rPr>
          <w:rFonts w:ascii="Cambria" w:hAnsi="Cambria"/>
          <w:color w:val="000000"/>
        </w:rPr>
        <w:t>:</w:t>
      </w:r>
      <w:r w:rsidR="003C1BA5">
        <w:rPr>
          <w:rFonts w:ascii="Cambria" w:hAnsi="Cambria"/>
          <w:color w:val="000000"/>
        </w:rPr>
        <w:t xml:space="preserve"> </w:t>
      </w:r>
      <w:r w:rsidR="00E3245A">
        <w:rPr>
          <w:rFonts w:ascii="Cambria" w:hAnsi="Cambria"/>
          <w:color w:val="000000"/>
        </w:rPr>
        <w:t xml:space="preserve">Four student outcomes were examined: </w:t>
      </w:r>
      <w:r w:rsidR="003C1BA5">
        <w:rPr>
          <w:rFonts w:ascii="Cambria" w:hAnsi="Cambria"/>
          <w:color w:val="000000"/>
        </w:rPr>
        <w:t>graduation status</w:t>
      </w:r>
      <w:r w:rsidR="00E3245A">
        <w:rPr>
          <w:rFonts w:ascii="Cambria" w:hAnsi="Cambria"/>
          <w:color w:val="000000"/>
        </w:rPr>
        <w:t xml:space="preserve"> by fall of 2020</w:t>
      </w:r>
      <w:r w:rsidR="003C1BA5">
        <w:rPr>
          <w:rFonts w:ascii="Cambria" w:hAnsi="Cambria"/>
          <w:color w:val="000000"/>
        </w:rPr>
        <w:t xml:space="preserve">, </w:t>
      </w:r>
      <w:r w:rsidR="00CE2190">
        <w:rPr>
          <w:rFonts w:ascii="Cambria" w:hAnsi="Cambria"/>
          <w:color w:val="000000"/>
        </w:rPr>
        <w:t xml:space="preserve">whether they entered a </w:t>
      </w:r>
      <w:r w:rsidR="0032155D">
        <w:rPr>
          <w:rFonts w:ascii="Cambria" w:hAnsi="Cambria"/>
          <w:color w:val="000000"/>
        </w:rPr>
        <w:t xml:space="preserve">STEM </w:t>
      </w:r>
      <w:r w:rsidR="003C1BA5">
        <w:rPr>
          <w:rFonts w:ascii="Cambria" w:hAnsi="Cambria"/>
          <w:color w:val="000000"/>
        </w:rPr>
        <w:t xml:space="preserve">field of study, </w:t>
      </w:r>
      <w:r w:rsidR="00E3245A">
        <w:rPr>
          <w:rFonts w:ascii="Cambria" w:hAnsi="Cambria"/>
          <w:color w:val="000000"/>
        </w:rPr>
        <w:t>their cumulative grade point average (C</w:t>
      </w:r>
      <w:r w:rsidR="003C1BA5">
        <w:rPr>
          <w:rFonts w:ascii="Cambria" w:hAnsi="Cambria"/>
          <w:color w:val="000000"/>
        </w:rPr>
        <w:t>GPA</w:t>
      </w:r>
      <w:r w:rsidR="00E3245A">
        <w:rPr>
          <w:rFonts w:ascii="Cambria" w:hAnsi="Cambria"/>
          <w:color w:val="000000"/>
        </w:rPr>
        <w:t>)</w:t>
      </w:r>
      <w:r w:rsidR="003C1BA5">
        <w:rPr>
          <w:rFonts w:ascii="Cambria" w:hAnsi="Cambria"/>
          <w:color w:val="000000"/>
        </w:rPr>
        <w:t xml:space="preserve">, </w:t>
      </w:r>
      <w:r w:rsidR="00CE2190">
        <w:rPr>
          <w:rFonts w:ascii="Cambria" w:hAnsi="Cambria"/>
          <w:color w:val="000000"/>
        </w:rPr>
        <w:t xml:space="preserve">and </w:t>
      </w:r>
      <w:r w:rsidR="00E3245A">
        <w:rPr>
          <w:rFonts w:ascii="Cambria" w:hAnsi="Cambria"/>
          <w:color w:val="000000"/>
        </w:rPr>
        <w:t xml:space="preserve">their </w:t>
      </w:r>
      <w:r w:rsidR="003C1BA5">
        <w:rPr>
          <w:rFonts w:ascii="Cambria" w:hAnsi="Cambria"/>
          <w:color w:val="000000"/>
        </w:rPr>
        <w:t xml:space="preserve">credits </w:t>
      </w:r>
      <w:r w:rsidR="00E3245A">
        <w:rPr>
          <w:rFonts w:ascii="Cambria" w:hAnsi="Cambria"/>
          <w:color w:val="000000"/>
        </w:rPr>
        <w:t>earned at UofT.</w:t>
      </w:r>
      <w:r>
        <w:rPr>
          <w:rFonts w:ascii="Cambria" w:hAnsi="Cambria"/>
          <w:color w:val="000000"/>
        </w:rPr>
        <w:t xml:space="preserve">  The latter was combined with transfer credits awarded to create a measure of total credits earned.</w:t>
      </w:r>
    </w:p>
    <w:p w14:paraId="17EADA14" w14:textId="77777777" w:rsidR="003C1BA5" w:rsidRDefault="003C1BA5">
      <w:pPr>
        <w:spacing w:after="0"/>
        <w:ind w:left="120"/>
      </w:pPr>
    </w:p>
    <w:p w14:paraId="03B24C06" w14:textId="15195F88" w:rsidR="00E753E9" w:rsidRDefault="009238FB">
      <w:pPr>
        <w:spacing w:after="0"/>
        <w:ind w:left="120"/>
        <w:rPr>
          <w:rFonts w:ascii="Cambria" w:hAnsi="Cambria"/>
          <w:color w:val="000000"/>
        </w:rPr>
      </w:pPr>
      <w:r>
        <w:rPr>
          <w:rFonts w:ascii="Cambria" w:hAnsi="Cambria"/>
          <w:b/>
          <w:color w:val="000000"/>
        </w:rPr>
        <w:t>Data Quality</w:t>
      </w:r>
      <w:r>
        <w:rPr>
          <w:rFonts w:ascii="Cambria" w:hAnsi="Cambria"/>
          <w:color w:val="000000"/>
        </w:rPr>
        <w:t>:</w:t>
      </w:r>
      <w:r w:rsidR="00E753E9" w:rsidRPr="00E753E9">
        <w:rPr>
          <w:rFonts w:ascii="Cambria" w:hAnsi="Cambria"/>
          <w:color w:val="000000"/>
        </w:rPr>
        <w:t xml:space="preserve"> </w:t>
      </w:r>
      <w:r w:rsidR="00E753E9" w:rsidRPr="00385E6B">
        <w:rPr>
          <w:rFonts w:ascii="Cambria" w:hAnsi="Cambria"/>
          <w:b/>
          <w:color w:val="000000"/>
        </w:rPr>
        <w:t xml:space="preserve">Setting, </w:t>
      </w:r>
      <w:r w:rsidR="00E753E9">
        <w:rPr>
          <w:rFonts w:ascii="Cambria" w:hAnsi="Cambria"/>
          <w:b/>
          <w:color w:val="000000"/>
        </w:rPr>
        <w:t xml:space="preserve">Coverage, </w:t>
      </w:r>
      <w:r w:rsidR="00E753E9" w:rsidRPr="00385E6B">
        <w:rPr>
          <w:rFonts w:ascii="Cambria" w:hAnsi="Cambria"/>
          <w:b/>
          <w:color w:val="000000"/>
        </w:rPr>
        <w:t xml:space="preserve">Design, </w:t>
      </w:r>
      <w:r w:rsidR="005B37D4">
        <w:rPr>
          <w:rFonts w:ascii="Cambria" w:hAnsi="Cambria"/>
          <w:b/>
          <w:color w:val="000000"/>
        </w:rPr>
        <w:t>Varieties of Transfer</w:t>
      </w:r>
    </w:p>
    <w:p w14:paraId="34FEA3FC" w14:textId="77777777" w:rsidR="00873A16" w:rsidRDefault="00873A16">
      <w:pPr>
        <w:spacing w:after="0"/>
        <w:ind w:left="120"/>
        <w:rPr>
          <w:rFonts w:ascii="Cambria" w:hAnsi="Cambria"/>
          <w:color w:val="000000"/>
        </w:rPr>
      </w:pPr>
      <w:r>
        <w:rPr>
          <w:rFonts w:ascii="Cambria" w:hAnsi="Cambria"/>
          <w:color w:val="000000"/>
        </w:rPr>
        <w:tab/>
        <w:t xml:space="preserve"> This study’s focus on a single board-university pathway makes its findings difficult to generalize to other kinds of pathways, particularly rural ones. Further, it tracks only transfers </w:t>
      </w:r>
      <w:r w:rsidRPr="00385E6B">
        <w:rPr>
          <w:rFonts w:ascii="Cambria" w:hAnsi="Cambria"/>
          <w:i/>
          <w:color w:val="000000"/>
        </w:rPr>
        <w:t>into</w:t>
      </w:r>
      <w:r>
        <w:rPr>
          <w:rFonts w:ascii="Cambria" w:hAnsi="Cambria"/>
          <w:color w:val="000000"/>
        </w:rPr>
        <w:t xml:space="preserve"> UofT, and currently cannot track transfers </w:t>
      </w:r>
      <w:r>
        <w:rPr>
          <w:rFonts w:ascii="Cambria" w:hAnsi="Cambria"/>
          <w:i/>
          <w:color w:val="000000"/>
        </w:rPr>
        <w:t>out</w:t>
      </w:r>
      <w:r>
        <w:rPr>
          <w:rFonts w:ascii="Cambria" w:hAnsi="Cambria"/>
          <w:color w:val="000000"/>
        </w:rPr>
        <w:t xml:space="preserve"> of UofT.  Otherwise, t</w:t>
      </w:r>
      <w:r w:rsidR="00D73966">
        <w:rPr>
          <w:rFonts w:ascii="Cambria" w:hAnsi="Cambria"/>
          <w:color w:val="000000"/>
        </w:rPr>
        <w:t>hese d</w:t>
      </w:r>
      <w:r w:rsidR="009238FB">
        <w:rPr>
          <w:rFonts w:ascii="Cambria" w:hAnsi="Cambria"/>
          <w:color w:val="000000"/>
        </w:rPr>
        <w:t>ata</w:t>
      </w:r>
      <w:r w:rsidR="003C1BA5">
        <w:rPr>
          <w:rFonts w:ascii="Cambria" w:hAnsi="Cambria"/>
          <w:color w:val="000000"/>
        </w:rPr>
        <w:t xml:space="preserve"> </w:t>
      </w:r>
      <w:r w:rsidR="009238FB">
        <w:rPr>
          <w:rFonts w:ascii="Cambria" w:hAnsi="Cambria"/>
          <w:color w:val="000000"/>
        </w:rPr>
        <w:t xml:space="preserve">have several strengths for </w:t>
      </w:r>
      <w:r w:rsidR="00D73966">
        <w:rPr>
          <w:rFonts w:ascii="Cambria" w:hAnsi="Cambria"/>
          <w:color w:val="000000"/>
        </w:rPr>
        <w:t>examining transfer students</w:t>
      </w:r>
      <w:r w:rsidR="009238FB">
        <w:rPr>
          <w:rFonts w:ascii="Cambria" w:hAnsi="Cambria"/>
          <w:color w:val="000000"/>
        </w:rPr>
        <w:t xml:space="preserve">. </w:t>
      </w:r>
    </w:p>
    <w:p w14:paraId="36093789" w14:textId="77777777" w:rsidR="00873A16" w:rsidRDefault="00873A16">
      <w:pPr>
        <w:spacing w:after="0"/>
        <w:ind w:left="120"/>
        <w:rPr>
          <w:rFonts w:ascii="Cambria" w:hAnsi="Cambria"/>
          <w:color w:val="000000"/>
        </w:rPr>
      </w:pPr>
    </w:p>
    <w:p w14:paraId="4B9D1EC6" w14:textId="1AA457AA" w:rsidR="00F14699" w:rsidRDefault="00873A16">
      <w:pPr>
        <w:spacing w:after="0"/>
        <w:ind w:left="120"/>
      </w:pPr>
      <w:r>
        <w:rPr>
          <w:rFonts w:ascii="Cambria" w:hAnsi="Cambria"/>
          <w:color w:val="000000"/>
        </w:rPr>
        <w:tab/>
      </w:r>
      <w:r w:rsidR="005B37D4">
        <w:rPr>
          <w:rFonts w:ascii="Cambria" w:hAnsi="Cambria"/>
          <w:color w:val="000000"/>
        </w:rPr>
        <w:t>First, t</w:t>
      </w:r>
      <w:r w:rsidR="009238FB">
        <w:rPr>
          <w:rFonts w:ascii="Cambria" w:hAnsi="Cambria"/>
          <w:color w:val="000000"/>
        </w:rPr>
        <w:t xml:space="preserve">he TDSB-UofT pathway </w:t>
      </w:r>
      <w:r w:rsidR="00243CF3">
        <w:rPr>
          <w:rFonts w:ascii="Cambria" w:hAnsi="Cambria"/>
          <w:color w:val="000000"/>
        </w:rPr>
        <w:t xml:space="preserve">provides </w:t>
      </w:r>
      <w:r w:rsidR="00D73966">
        <w:rPr>
          <w:rFonts w:ascii="Cambria" w:hAnsi="Cambria"/>
          <w:color w:val="000000"/>
        </w:rPr>
        <w:t>a</w:t>
      </w:r>
      <w:r w:rsidR="00E3245A">
        <w:rPr>
          <w:rFonts w:ascii="Cambria" w:hAnsi="Cambria"/>
          <w:color w:val="000000"/>
        </w:rPr>
        <w:t xml:space="preserve"> strategic </w:t>
      </w:r>
      <w:r w:rsidR="00D73966">
        <w:rPr>
          <w:rFonts w:ascii="Cambria" w:hAnsi="Cambria"/>
          <w:color w:val="000000"/>
        </w:rPr>
        <w:t>s</w:t>
      </w:r>
      <w:r w:rsidR="00E753E9">
        <w:rPr>
          <w:rFonts w:ascii="Cambria" w:hAnsi="Cambria"/>
          <w:color w:val="000000"/>
        </w:rPr>
        <w:t>etting</w:t>
      </w:r>
      <w:r w:rsidR="00E3245A">
        <w:rPr>
          <w:rFonts w:ascii="Cambria" w:hAnsi="Cambria"/>
          <w:color w:val="000000"/>
        </w:rPr>
        <w:t xml:space="preserve">. On the one hand, it is embedded in a region </w:t>
      </w:r>
      <w:r w:rsidR="00470658">
        <w:rPr>
          <w:rFonts w:ascii="Cambria" w:hAnsi="Cambria"/>
          <w:color w:val="000000"/>
        </w:rPr>
        <w:t xml:space="preserve">with </w:t>
      </w:r>
      <w:r w:rsidR="00E753E9">
        <w:rPr>
          <w:rFonts w:ascii="Cambria" w:hAnsi="Cambria"/>
          <w:color w:val="000000"/>
        </w:rPr>
        <w:t>rich</w:t>
      </w:r>
      <w:r w:rsidR="00D73966">
        <w:rPr>
          <w:rFonts w:ascii="Cambria" w:hAnsi="Cambria"/>
          <w:color w:val="000000"/>
        </w:rPr>
        <w:t xml:space="preserve"> </w:t>
      </w:r>
      <w:r w:rsidR="00E3245A">
        <w:rPr>
          <w:rFonts w:ascii="Cambria" w:hAnsi="Cambria"/>
          <w:color w:val="000000"/>
        </w:rPr>
        <w:t xml:space="preserve">and </w:t>
      </w:r>
      <w:r w:rsidR="00D73966">
        <w:rPr>
          <w:rFonts w:ascii="Cambria" w:hAnsi="Cambria"/>
          <w:color w:val="000000"/>
        </w:rPr>
        <w:t>dens</w:t>
      </w:r>
      <w:r w:rsidR="00E3245A">
        <w:rPr>
          <w:rFonts w:ascii="Cambria" w:hAnsi="Cambria"/>
          <w:color w:val="000000"/>
        </w:rPr>
        <w:t xml:space="preserve">e </w:t>
      </w:r>
      <w:r w:rsidR="009238FB">
        <w:rPr>
          <w:rFonts w:ascii="Cambria" w:hAnsi="Cambria"/>
          <w:color w:val="000000"/>
        </w:rPr>
        <w:t>postsecondary options.</w:t>
      </w:r>
      <w:r w:rsidR="00E3245A">
        <w:rPr>
          <w:rFonts w:ascii="Cambria" w:hAnsi="Cambria"/>
          <w:color w:val="000000"/>
        </w:rPr>
        <w:t xml:space="preserve"> TDSB graduates who remain in the city can easily commute to 10 postsecondary campuses by car or </w:t>
      </w:r>
      <w:r w:rsidR="00F90976">
        <w:rPr>
          <w:rFonts w:ascii="Cambria" w:hAnsi="Cambria"/>
          <w:color w:val="000000"/>
        </w:rPr>
        <w:t>public transit, and c</w:t>
      </w:r>
      <w:r w:rsidR="00470658">
        <w:rPr>
          <w:rFonts w:ascii="Cambria" w:hAnsi="Cambria"/>
          <w:color w:val="000000"/>
        </w:rPr>
        <w:t>ould</w:t>
      </w:r>
      <w:r w:rsidR="00F90976">
        <w:rPr>
          <w:rFonts w:ascii="Cambria" w:hAnsi="Cambria"/>
          <w:color w:val="000000"/>
        </w:rPr>
        <w:t xml:space="preserve"> transfer across </w:t>
      </w:r>
      <w:r w:rsidR="00470658">
        <w:rPr>
          <w:rFonts w:ascii="Cambria" w:hAnsi="Cambria"/>
          <w:color w:val="000000"/>
        </w:rPr>
        <w:t xml:space="preserve">those </w:t>
      </w:r>
      <w:r w:rsidR="00F90976">
        <w:rPr>
          <w:rFonts w:ascii="Cambria" w:hAnsi="Cambria"/>
          <w:color w:val="000000"/>
        </w:rPr>
        <w:t>institutions without moving residence.</w:t>
      </w:r>
      <w:r w:rsidR="00E753E9">
        <w:rPr>
          <w:rFonts w:ascii="Cambria" w:hAnsi="Cambria"/>
          <w:color w:val="000000"/>
        </w:rPr>
        <w:t xml:space="preserve"> </w:t>
      </w:r>
      <w:r w:rsidR="00E3245A">
        <w:rPr>
          <w:rFonts w:ascii="Cambria" w:hAnsi="Cambria"/>
          <w:color w:val="000000"/>
        </w:rPr>
        <w:t>UofT’s</w:t>
      </w:r>
      <w:r w:rsidR="00470658">
        <w:rPr>
          <w:rFonts w:ascii="Cambria" w:hAnsi="Cambria"/>
          <w:color w:val="000000"/>
        </w:rPr>
        <w:t xml:space="preserve"> 3 campuses can be easily accessed by car or public transit to students residing in the central city as well as to the east or west.</w:t>
      </w:r>
      <w:r w:rsidR="00E3245A">
        <w:rPr>
          <w:rFonts w:ascii="Cambria" w:hAnsi="Cambria"/>
          <w:color w:val="000000"/>
        </w:rPr>
        <w:t xml:space="preserve"> </w:t>
      </w:r>
      <w:r w:rsidR="00470658">
        <w:rPr>
          <w:rFonts w:ascii="Cambria" w:hAnsi="Cambria"/>
          <w:color w:val="000000"/>
        </w:rPr>
        <w:t xml:space="preserve">The university’s </w:t>
      </w:r>
      <w:r w:rsidR="00E3245A">
        <w:rPr>
          <w:rFonts w:ascii="Cambria" w:hAnsi="Cambria"/>
          <w:color w:val="000000"/>
        </w:rPr>
        <w:t xml:space="preserve">menu of </w:t>
      </w:r>
      <w:r w:rsidR="00470658">
        <w:rPr>
          <w:rFonts w:ascii="Cambria" w:hAnsi="Cambria"/>
          <w:color w:val="000000"/>
        </w:rPr>
        <w:t xml:space="preserve">hundreds of </w:t>
      </w:r>
      <w:r w:rsidR="00E3245A">
        <w:rPr>
          <w:rFonts w:ascii="Cambria" w:hAnsi="Cambria"/>
          <w:color w:val="000000"/>
        </w:rPr>
        <w:t>undergraduate programs may serve as a lure to would-be transfer students</w:t>
      </w:r>
      <w:r w:rsidR="00470658">
        <w:rPr>
          <w:rFonts w:ascii="Cambria" w:hAnsi="Cambria"/>
          <w:color w:val="000000"/>
        </w:rPr>
        <w:t>.</w:t>
      </w:r>
      <w:r w:rsidR="00E753E9">
        <w:rPr>
          <w:rFonts w:ascii="Cambria" w:hAnsi="Cambria"/>
          <w:color w:val="000000"/>
        </w:rPr>
        <w:t xml:space="preserve"> Conversely, UofT is more selective than most Canadian universities, and thereby may discourage </w:t>
      </w:r>
      <w:r w:rsidR="00243CF3">
        <w:rPr>
          <w:rFonts w:ascii="Cambria" w:hAnsi="Cambria"/>
          <w:color w:val="000000"/>
        </w:rPr>
        <w:t>in-</w:t>
      </w:r>
      <w:r w:rsidR="00E753E9">
        <w:rPr>
          <w:rFonts w:ascii="Cambria" w:hAnsi="Cambria"/>
          <w:color w:val="000000"/>
        </w:rPr>
        <w:t>transfers</w:t>
      </w:r>
      <w:r w:rsidR="00F90976">
        <w:rPr>
          <w:rFonts w:ascii="Cambria" w:hAnsi="Cambria"/>
          <w:color w:val="000000"/>
        </w:rPr>
        <w:t xml:space="preserve"> (and perhaps also </w:t>
      </w:r>
      <w:r w:rsidR="00243CF3">
        <w:rPr>
          <w:rFonts w:ascii="Cambria" w:hAnsi="Cambria"/>
          <w:color w:val="000000"/>
        </w:rPr>
        <w:t>encourag</w:t>
      </w:r>
      <w:r w:rsidR="00470658">
        <w:rPr>
          <w:rFonts w:ascii="Cambria" w:hAnsi="Cambria"/>
          <w:color w:val="000000"/>
        </w:rPr>
        <w:t>e</w:t>
      </w:r>
      <w:r w:rsidR="00243CF3">
        <w:rPr>
          <w:rFonts w:ascii="Cambria" w:hAnsi="Cambria"/>
          <w:color w:val="000000"/>
        </w:rPr>
        <w:t xml:space="preserve"> out-transfers</w:t>
      </w:r>
      <w:r w:rsidR="00F90976">
        <w:rPr>
          <w:rFonts w:ascii="Cambria" w:hAnsi="Cambria"/>
          <w:color w:val="000000"/>
        </w:rPr>
        <w:t>)</w:t>
      </w:r>
      <w:r w:rsidR="00E753E9">
        <w:rPr>
          <w:rFonts w:ascii="Cambria" w:hAnsi="Cambria"/>
          <w:color w:val="000000"/>
        </w:rPr>
        <w:t>.</w:t>
      </w:r>
      <w:r w:rsidR="005B37D4">
        <w:rPr>
          <w:rFonts w:ascii="Cambria" w:hAnsi="Cambria"/>
          <w:color w:val="000000"/>
        </w:rPr>
        <w:t xml:space="preserve"> Second, </w:t>
      </w:r>
      <w:r w:rsidR="00F90976">
        <w:rPr>
          <w:rFonts w:ascii="Cambria" w:hAnsi="Cambria"/>
          <w:color w:val="000000"/>
        </w:rPr>
        <w:t xml:space="preserve">since </w:t>
      </w:r>
      <w:r w:rsidR="00243CF3">
        <w:rPr>
          <w:rFonts w:ascii="Cambria" w:hAnsi="Cambria"/>
          <w:color w:val="000000"/>
        </w:rPr>
        <w:t xml:space="preserve">these </w:t>
      </w:r>
      <w:r w:rsidR="00F90976">
        <w:rPr>
          <w:rFonts w:ascii="Cambria" w:hAnsi="Cambria"/>
          <w:color w:val="000000"/>
        </w:rPr>
        <w:t xml:space="preserve">data are </w:t>
      </w:r>
      <w:r w:rsidR="00243CF3">
        <w:rPr>
          <w:rFonts w:ascii="Cambria" w:hAnsi="Cambria"/>
          <w:color w:val="000000"/>
        </w:rPr>
        <w:t>population-level</w:t>
      </w:r>
      <w:r w:rsidR="00F90976">
        <w:rPr>
          <w:rFonts w:ascii="Cambria" w:hAnsi="Cambria"/>
          <w:color w:val="000000"/>
        </w:rPr>
        <w:t>, they</w:t>
      </w:r>
      <w:r w:rsidR="00243CF3">
        <w:rPr>
          <w:rFonts w:ascii="Cambria" w:hAnsi="Cambria"/>
          <w:color w:val="000000"/>
        </w:rPr>
        <w:t xml:space="preserve"> </w:t>
      </w:r>
      <w:r w:rsidR="005B37D4">
        <w:rPr>
          <w:rFonts w:ascii="Cambria" w:hAnsi="Cambria"/>
          <w:color w:val="000000"/>
        </w:rPr>
        <w:t xml:space="preserve">offer sufficient numbers </w:t>
      </w:r>
      <w:r w:rsidR="009238FB">
        <w:rPr>
          <w:rFonts w:ascii="Cambria" w:hAnsi="Cambria"/>
          <w:color w:val="000000"/>
        </w:rPr>
        <w:t xml:space="preserve">to </w:t>
      </w:r>
      <w:r w:rsidR="00F90976">
        <w:rPr>
          <w:rFonts w:ascii="Cambria" w:hAnsi="Cambria"/>
          <w:color w:val="000000"/>
        </w:rPr>
        <w:t xml:space="preserve">sort </w:t>
      </w:r>
      <w:r w:rsidR="005B37D4">
        <w:rPr>
          <w:rFonts w:ascii="Cambria" w:hAnsi="Cambria"/>
          <w:color w:val="000000"/>
        </w:rPr>
        <w:t xml:space="preserve">students </w:t>
      </w:r>
      <w:r w:rsidR="00470658">
        <w:rPr>
          <w:rFonts w:ascii="Cambria" w:hAnsi="Cambria"/>
          <w:color w:val="000000"/>
        </w:rPr>
        <w:t xml:space="preserve">into </w:t>
      </w:r>
      <w:r w:rsidR="009238FB">
        <w:rPr>
          <w:rFonts w:ascii="Cambria" w:hAnsi="Cambria"/>
          <w:color w:val="000000"/>
        </w:rPr>
        <w:t>multipl</w:t>
      </w:r>
      <w:r w:rsidR="00D73966">
        <w:rPr>
          <w:rFonts w:ascii="Cambria" w:hAnsi="Cambria"/>
          <w:color w:val="000000"/>
        </w:rPr>
        <w:t xml:space="preserve">e </w:t>
      </w:r>
      <w:r w:rsidR="009238FB">
        <w:rPr>
          <w:rFonts w:ascii="Cambria" w:hAnsi="Cambria"/>
          <w:color w:val="000000"/>
        </w:rPr>
        <w:t xml:space="preserve">sub-groups, </w:t>
      </w:r>
      <w:r w:rsidR="0032155D">
        <w:rPr>
          <w:rFonts w:ascii="Cambria" w:hAnsi="Cambria"/>
          <w:color w:val="000000"/>
        </w:rPr>
        <w:t>including</w:t>
      </w:r>
      <w:r w:rsidR="009238FB">
        <w:rPr>
          <w:rFonts w:ascii="Cambria" w:hAnsi="Cambria"/>
          <w:color w:val="000000"/>
        </w:rPr>
        <w:t xml:space="preserve"> </w:t>
      </w:r>
      <w:r w:rsidR="0032155D">
        <w:rPr>
          <w:rFonts w:ascii="Cambria" w:hAnsi="Cambria"/>
          <w:color w:val="000000"/>
        </w:rPr>
        <w:t xml:space="preserve">types of </w:t>
      </w:r>
      <w:r w:rsidR="009238FB">
        <w:rPr>
          <w:rFonts w:ascii="Cambria" w:hAnsi="Cambria"/>
          <w:color w:val="000000"/>
        </w:rPr>
        <w:t>transfer</w:t>
      </w:r>
      <w:r w:rsidR="0032155D">
        <w:rPr>
          <w:rFonts w:ascii="Cambria" w:hAnsi="Cambria"/>
          <w:color w:val="000000"/>
        </w:rPr>
        <w:t xml:space="preserve"> </w:t>
      </w:r>
      <w:r w:rsidR="005B37D4">
        <w:rPr>
          <w:rFonts w:ascii="Cambria" w:hAnsi="Cambria"/>
          <w:color w:val="000000"/>
        </w:rPr>
        <w:t>s</w:t>
      </w:r>
      <w:r w:rsidR="00F90976">
        <w:rPr>
          <w:rFonts w:ascii="Cambria" w:hAnsi="Cambria"/>
          <w:color w:val="000000"/>
        </w:rPr>
        <w:t>tudents</w:t>
      </w:r>
      <w:r w:rsidR="009238FB">
        <w:rPr>
          <w:rFonts w:ascii="Cambria" w:hAnsi="Cambria"/>
          <w:color w:val="000000"/>
        </w:rPr>
        <w:t xml:space="preserve">. </w:t>
      </w:r>
      <w:r w:rsidR="005B37D4">
        <w:rPr>
          <w:rFonts w:ascii="Cambria" w:hAnsi="Cambria"/>
          <w:color w:val="000000"/>
        </w:rPr>
        <w:t xml:space="preserve">Third, its longitudinal </w:t>
      </w:r>
      <w:r w:rsidR="009238FB">
        <w:rPr>
          <w:rFonts w:ascii="Cambria" w:hAnsi="Cambria"/>
          <w:color w:val="000000"/>
        </w:rPr>
        <w:t>cohort design</w:t>
      </w:r>
      <w:r w:rsidR="00D45304">
        <w:rPr>
          <w:rFonts w:ascii="Cambria" w:hAnsi="Cambria"/>
          <w:color w:val="000000"/>
        </w:rPr>
        <w:t xml:space="preserve"> </w:t>
      </w:r>
      <w:r w:rsidR="009238FB">
        <w:rPr>
          <w:rFonts w:ascii="Cambria" w:hAnsi="Cambria"/>
          <w:color w:val="000000"/>
        </w:rPr>
        <w:t>capture</w:t>
      </w:r>
      <w:r w:rsidR="005B37D4">
        <w:rPr>
          <w:rFonts w:ascii="Cambria" w:hAnsi="Cambria"/>
          <w:color w:val="000000"/>
        </w:rPr>
        <w:t>s</w:t>
      </w:r>
      <w:r w:rsidR="009238FB">
        <w:rPr>
          <w:rFonts w:ascii="Cambria" w:hAnsi="Cambria"/>
          <w:color w:val="000000"/>
        </w:rPr>
        <w:t xml:space="preserve"> an array of students </w:t>
      </w:r>
      <w:r w:rsidR="005B37D4">
        <w:rPr>
          <w:rFonts w:ascii="Cambria" w:hAnsi="Cambria"/>
          <w:color w:val="000000"/>
        </w:rPr>
        <w:t xml:space="preserve">who </w:t>
      </w:r>
      <w:r w:rsidR="009238FB">
        <w:rPr>
          <w:rFonts w:ascii="Cambria" w:hAnsi="Cambria"/>
          <w:color w:val="000000"/>
        </w:rPr>
        <w:t xml:space="preserve">might </w:t>
      </w:r>
      <w:r w:rsidR="005B37D4">
        <w:rPr>
          <w:rFonts w:ascii="Cambria" w:hAnsi="Cambria"/>
          <w:color w:val="000000"/>
        </w:rPr>
        <w:t>be</w:t>
      </w:r>
      <w:r w:rsidR="009238FB">
        <w:rPr>
          <w:rFonts w:ascii="Cambria" w:hAnsi="Cambria"/>
          <w:color w:val="000000"/>
        </w:rPr>
        <w:t xml:space="preserve"> otherwise </w:t>
      </w:r>
      <w:r w:rsidR="005B37D4">
        <w:rPr>
          <w:rFonts w:ascii="Cambria" w:hAnsi="Cambria"/>
          <w:color w:val="000000"/>
        </w:rPr>
        <w:t xml:space="preserve">lost </w:t>
      </w:r>
      <w:r w:rsidR="009238FB">
        <w:rPr>
          <w:rFonts w:ascii="Cambria" w:hAnsi="Cambria"/>
          <w:color w:val="000000"/>
        </w:rPr>
        <w:t>in studies with shorter timelines</w:t>
      </w:r>
      <w:r w:rsidR="005B37D4">
        <w:rPr>
          <w:rFonts w:ascii="Cambria" w:hAnsi="Cambria"/>
          <w:color w:val="000000"/>
        </w:rPr>
        <w:t xml:space="preserve">, such as those who </w:t>
      </w:r>
      <w:r w:rsidR="00D45304">
        <w:rPr>
          <w:rFonts w:ascii="Cambria" w:hAnsi="Cambria"/>
          <w:color w:val="000000"/>
        </w:rPr>
        <w:t xml:space="preserve">not </w:t>
      </w:r>
      <w:r w:rsidR="009238FB">
        <w:rPr>
          <w:rFonts w:ascii="Cambria" w:hAnsi="Cambria"/>
          <w:color w:val="000000"/>
        </w:rPr>
        <w:t>proceed directly through high school</w:t>
      </w:r>
      <w:r w:rsidR="005B37D4">
        <w:rPr>
          <w:rFonts w:ascii="Cambria" w:hAnsi="Cambria"/>
          <w:color w:val="000000"/>
        </w:rPr>
        <w:t xml:space="preserve">, do not directly enter </w:t>
      </w:r>
      <w:r w:rsidR="00D45304">
        <w:rPr>
          <w:rFonts w:ascii="Cambria" w:hAnsi="Cambria"/>
          <w:color w:val="000000"/>
        </w:rPr>
        <w:t>higher education</w:t>
      </w:r>
      <w:r w:rsidR="005B37D4">
        <w:rPr>
          <w:rFonts w:ascii="Cambria" w:hAnsi="Cambria"/>
          <w:color w:val="000000"/>
        </w:rPr>
        <w:t>, and do not proceed directly through university</w:t>
      </w:r>
      <w:r w:rsidR="009238FB">
        <w:rPr>
          <w:rFonts w:ascii="Cambria" w:hAnsi="Cambria"/>
          <w:color w:val="000000"/>
        </w:rPr>
        <w:t>.</w:t>
      </w:r>
      <w:r w:rsidR="005B37D4">
        <w:rPr>
          <w:rFonts w:ascii="Cambria" w:hAnsi="Cambria"/>
          <w:color w:val="000000"/>
        </w:rPr>
        <w:t xml:space="preserve"> Fourth, by identifying students’ previous institution before entering UofT, </w:t>
      </w:r>
      <w:r w:rsidR="00470658">
        <w:rPr>
          <w:rFonts w:ascii="Cambria" w:hAnsi="Cambria"/>
          <w:color w:val="000000"/>
        </w:rPr>
        <w:t xml:space="preserve">these data </w:t>
      </w:r>
      <w:r w:rsidR="005B37D4">
        <w:rPr>
          <w:rFonts w:ascii="Cambria" w:hAnsi="Cambria"/>
          <w:color w:val="000000"/>
        </w:rPr>
        <w:t>capture transfers beyond those from Ontario universities</w:t>
      </w:r>
      <w:r w:rsidR="00F90976">
        <w:rPr>
          <w:rFonts w:ascii="Cambria" w:hAnsi="Cambria"/>
          <w:color w:val="000000"/>
        </w:rPr>
        <w:t>, wh</w:t>
      </w:r>
      <w:r w:rsidR="00470658">
        <w:rPr>
          <w:rFonts w:ascii="Cambria" w:hAnsi="Cambria"/>
          <w:color w:val="000000"/>
        </w:rPr>
        <w:t xml:space="preserve">o are </w:t>
      </w:r>
      <w:r w:rsidR="00F90976">
        <w:rPr>
          <w:rFonts w:ascii="Cambria" w:hAnsi="Cambria"/>
          <w:color w:val="000000"/>
        </w:rPr>
        <w:t xml:space="preserve">often lost </w:t>
      </w:r>
      <w:r w:rsidR="00470658">
        <w:rPr>
          <w:rFonts w:ascii="Cambria" w:hAnsi="Cambria"/>
          <w:color w:val="000000"/>
        </w:rPr>
        <w:t xml:space="preserve">if one </w:t>
      </w:r>
      <w:r w:rsidR="00F90976">
        <w:rPr>
          <w:rFonts w:ascii="Cambria" w:hAnsi="Cambria"/>
          <w:color w:val="000000"/>
        </w:rPr>
        <w:t>rel</w:t>
      </w:r>
      <w:r w:rsidR="00470658">
        <w:rPr>
          <w:rFonts w:ascii="Cambria" w:hAnsi="Cambria"/>
          <w:color w:val="000000"/>
        </w:rPr>
        <w:t xml:space="preserve">ies </w:t>
      </w:r>
      <w:r w:rsidR="00F90976">
        <w:rPr>
          <w:rFonts w:ascii="Cambria" w:hAnsi="Cambria"/>
          <w:color w:val="000000"/>
        </w:rPr>
        <w:t>only on transfer flags</w:t>
      </w:r>
      <w:r w:rsidR="005B37D4">
        <w:rPr>
          <w:rFonts w:ascii="Cambria" w:hAnsi="Cambria"/>
          <w:color w:val="000000"/>
        </w:rPr>
        <w:t xml:space="preserve">.  Fifth, its </w:t>
      </w:r>
      <w:r w:rsidR="009238FB">
        <w:rPr>
          <w:rFonts w:ascii="Cambria" w:hAnsi="Cambria"/>
          <w:color w:val="000000"/>
        </w:rPr>
        <w:t xml:space="preserve">focus on a single </w:t>
      </w:r>
      <w:r w:rsidR="00470658">
        <w:rPr>
          <w:rFonts w:ascii="Cambria" w:hAnsi="Cambria"/>
          <w:color w:val="000000"/>
        </w:rPr>
        <w:t>board</w:t>
      </w:r>
      <w:r w:rsidR="009238FB">
        <w:rPr>
          <w:rFonts w:ascii="Cambria" w:hAnsi="Cambria"/>
          <w:color w:val="000000"/>
        </w:rPr>
        <w:t xml:space="preserve">-university pathway </w:t>
      </w:r>
      <w:r w:rsidR="005B37D4">
        <w:rPr>
          <w:rFonts w:ascii="Cambria" w:hAnsi="Cambria"/>
          <w:color w:val="000000"/>
        </w:rPr>
        <w:t xml:space="preserve">provides </w:t>
      </w:r>
      <w:r w:rsidR="00470658">
        <w:rPr>
          <w:rFonts w:ascii="Cambria" w:hAnsi="Cambria"/>
          <w:color w:val="000000"/>
        </w:rPr>
        <w:t xml:space="preserve">restricts ranges on </w:t>
      </w:r>
      <w:r w:rsidR="009238FB">
        <w:rPr>
          <w:rFonts w:ascii="Cambria" w:hAnsi="Cambria"/>
          <w:color w:val="000000"/>
        </w:rPr>
        <w:t xml:space="preserve">a range of unmeasured </w:t>
      </w:r>
      <w:r w:rsidR="005B37D4">
        <w:rPr>
          <w:rFonts w:ascii="Cambria" w:hAnsi="Cambria"/>
          <w:color w:val="000000"/>
        </w:rPr>
        <w:t xml:space="preserve">variables that </w:t>
      </w:r>
      <w:r w:rsidR="00470658">
        <w:rPr>
          <w:rFonts w:ascii="Cambria" w:hAnsi="Cambria"/>
          <w:color w:val="000000"/>
        </w:rPr>
        <w:t>c</w:t>
      </w:r>
      <w:r w:rsidR="005B37D4">
        <w:rPr>
          <w:rFonts w:ascii="Cambria" w:hAnsi="Cambria"/>
          <w:color w:val="000000"/>
        </w:rPr>
        <w:t xml:space="preserve">ould </w:t>
      </w:r>
      <w:r w:rsidR="00D45304">
        <w:rPr>
          <w:rFonts w:ascii="Cambria" w:hAnsi="Cambria"/>
          <w:color w:val="000000"/>
        </w:rPr>
        <w:t>confound</w:t>
      </w:r>
      <w:r w:rsidR="005B37D4">
        <w:rPr>
          <w:rFonts w:ascii="Cambria" w:hAnsi="Cambria"/>
          <w:color w:val="000000"/>
        </w:rPr>
        <w:t xml:space="preserve"> studies </w:t>
      </w:r>
      <w:r w:rsidR="009238FB">
        <w:rPr>
          <w:rFonts w:ascii="Cambria" w:hAnsi="Cambria"/>
          <w:color w:val="000000"/>
        </w:rPr>
        <w:t xml:space="preserve">that </w:t>
      </w:r>
      <w:r w:rsidR="00D45304">
        <w:rPr>
          <w:rFonts w:ascii="Cambria" w:hAnsi="Cambria"/>
          <w:color w:val="000000"/>
        </w:rPr>
        <w:t>pool</w:t>
      </w:r>
      <w:r w:rsidR="005B37D4">
        <w:rPr>
          <w:rFonts w:ascii="Cambria" w:hAnsi="Cambria"/>
          <w:color w:val="000000"/>
        </w:rPr>
        <w:t xml:space="preserve"> students</w:t>
      </w:r>
      <w:r w:rsidR="00D45304">
        <w:rPr>
          <w:rFonts w:ascii="Cambria" w:hAnsi="Cambria"/>
          <w:color w:val="000000"/>
        </w:rPr>
        <w:t xml:space="preserve"> </w:t>
      </w:r>
      <w:r w:rsidR="009238FB">
        <w:rPr>
          <w:rFonts w:ascii="Cambria" w:hAnsi="Cambria"/>
          <w:color w:val="000000"/>
        </w:rPr>
        <w:t xml:space="preserve">from </w:t>
      </w:r>
      <w:r w:rsidR="00D45304">
        <w:rPr>
          <w:rFonts w:ascii="Cambria" w:hAnsi="Cambria"/>
          <w:color w:val="000000"/>
        </w:rPr>
        <w:t xml:space="preserve">multiple </w:t>
      </w:r>
      <w:r w:rsidR="009238FB">
        <w:rPr>
          <w:rFonts w:ascii="Cambria" w:hAnsi="Cambria"/>
          <w:color w:val="000000"/>
        </w:rPr>
        <w:t>boards and universities</w:t>
      </w:r>
      <w:r w:rsidR="00961CC6">
        <w:rPr>
          <w:rFonts w:ascii="Cambria" w:hAnsi="Cambria"/>
          <w:color w:val="000000"/>
        </w:rPr>
        <w:t xml:space="preserve">. For instance, Ontario school boards differ in their proximity to higher education institutions, and universities vary in their stature, selectivity and menus of programs and majors. Both boards and universities vary in their local economic </w:t>
      </w:r>
      <w:r w:rsidR="009238FB">
        <w:rPr>
          <w:rFonts w:ascii="Cambria" w:hAnsi="Cambria"/>
          <w:color w:val="000000"/>
        </w:rPr>
        <w:t>opportunities</w:t>
      </w:r>
      <w:r w:rsidR="0032155D">
        <w:rPr>
          <w:rFonts w:ascii="Cambria" w:hAnsi="Cambria"/>
          <w:color w:val="000000"/>
        </w:rPr>
        <w:t xml:space="preserve"> and</w:t>
      </w:r>
      <w:r w:rsidR="009238FB">
        <w:rPr>
          <w:rFonts w:ascii="Cambria" w:hAnsi="Cambria"/>
          <w:color w:val="000000"/>
        </w:rPr>
        <w:t xml:space="preserve"> job markets</w:t>
      </w:r>
      <w:r w:rsidR="00D45304">
        <w:rPr>
          <w:rFonts w:ascii="Cambria" w:hAnsi="Cambria"/>
          <w:color w:val="000000"/>
        </w:rPr>
        <w:t xml:space="preserve">. Each of these variables could </w:t>
      </w:r>
      <w:r w:rsidR="00961CC6">
        <w:rPr>
          <w:rFonts w:ascii="Cambria" w:hAnsi="Cambria"/>
          <w:color w:val="000000"/>
        </w:rPr>
        <w:t xml:space="preserve">influence </w:t>
      </w:r>
      <w:r w:rsidR="009238FB">
        <w:rPr>
          <w:rFonts w:ascii="Cambria" w:hAnsi="Cambria"/>
          <w:color w:val="000000"/>
        </w:rPr>
        <w:t>student</w:t>
      </w:r>
      <w:r w:rsidR="00961CC6">
        <w:rPr>
          <w:rFonts w:ascii="Cambria" w:hAnsi="Cambria"/>
          <w:color w:val="000000"/>
        </w:rPr>
        <w:t>s’ decisions to</w:t>
      </w:r>
      <w:r w:rsidR="009238FB">
        <w:rPr>
          <w:rFonts w:ascii="Cambria" w:hAnsi="Cambria"/>
          <w:color w:val="000000"/>
        </w:rPr>
        <w:t xml:space="preserve"> </w:t>
      </w:r>
      <w:r w:rsidR="00D45304">
        <w:rPr>
          <w:rFonts w:ascii="Cambria" w:hAnsi="Cambria"/>
          <w:color w:val="000000"/>
        </w:rPr>
        <w:t xml:space="preserve">transfer, and </w:t>
      </w:r>
      <w:r w:rsidR="00961CC6">
        <w:rPr>
          <w:rFonts w:ascii="Cambria" w:hAnsi="Cambria"/>
          <w:color w:val="000000"/>
        </w:rPr>
        <w:t xml:space="preserve">influence their success at university.  Data that pooled students from a variety of boards and university would </w:t>
      </w:r>
      <w:r w:rsidR="0032155D">
        <w:rPr>
          <w:rFonts w:ascii="Cambria" w:hAnsi="Cambria"/>
          <w:color w:val="000000"/>
        </w:rPr>
        <w:t>be therefore</w:t>
      </w:r>
      <w:r w:rsidR="00961CC6">
        <w:rPr>
          <w:rFonts w:ascii="Cambria" w:hAnsi="Cambria"/>
          <w:color w:val="000000"/>
        </w:rPr>
        <w:t xml:space="preserve"> </w:t>
      </w:r>
      <w:r w:rsidR="009238FB">
        <w:rPr>
          <w:rFonts w:ascii="Cambria" w:hAnsi="Cambria"/>
          <w:color w:val="000000"/>
        </w:rPr>
        <w:t>‘nois</w:t>
      </w:r>
      <w:r w:rsidR="00961CC6">
        <w:rPr>
          <w:rFonts w:ascii="Cambria" w:hAnsi="Cambria"/>
          <w:color w:val="000000"/>
        </w:rPr>
        <w:t>y</w:t>
      </w:r>
      <w:r w:rsidR="009238FB">
        <w:rPr>
          <w:rFonts w:ascii="Cambria" w:hAnsi="Cambria"/>
          <w:color w:val="000000"/>
        </w:rPr>
        <w:t xml:space="preserve">’ </w:t>
      </w:r>
      <w:r w:rsidR="00D45304">
        <w:rPr>
          <w:rFonts w:ascii="Cambria" w:hAnsi="Cambria"/>
          <w:color w:val="000000"/>
        </w:rPr>
        <w:t xml:space="preserve">for </w:t>
      </w:r>
      <w:r w:rsidR="00961CC6">
        <w:rPr>
          <w:rFonts w:ascii="Cambria" w:hAnsi="Cambria"/>
          <w:color w:val="000000"/>
        </w:rPr>
        <w:t xml:space="preserve">the purpose of </w:t>
      </w:r>
      <w:r w:rsidR="00D45304">
        <w:rPr>
          <w:rFonts w:ascii="Cambria" w:hAnsi="Cambria"/>
          <w:color w:val="000000"/>
        </w:rPr>
        <w:t>comparing attributes of transfer and direct entry students</w:t>
      </w:r>
      <w:r w:rsidR="0032155D">
        <w:rPr>
          <w:rFonts w:ascii="Cambria" w:hAnsi="Cambria"/>
          <w:color w:val="000000"/>
        </w:rPr>
        <w:t>, and in particular</w:t>
      </w:r>
      <w:r w:rsidR="00961CC6">
        <w:rPr>
          <w:rFonts w:ascii="Cambria" w:hAnsi="Cambria"/>
          <w:color w:val="000000"/>
        </w:rPr>
        <w:t xml:space="preserve"> </w:t>
      </w:r>
      <w:r w:rsidR="00470658">
        <w:rPr>
          <w:rFonts w:ascii="Cambria" w:hAnsi="Cambria"/>
          <w:color w:val="000000"/>
        </w:rPr>
        <w:t>c</w:t>
      </w:r>
      <w:r w:rsidR="00961CC6">
        <w:rPr>
          <w:rFonts w:ascii="Cambria" w:hAnsi="Cambria"/>
          <w:color w:val="000000"/>
        </w:rPr>
        <w:t>ould confound regional differences in opportunities to engage in commuting-distance transfer</w:t>
      </w:r>
      <w:r w:rsidR="009238FB">
        <w:rPr>
          <w:rFonts w:ascii="Cambria" w:hAnsi="Cambria"/>
          <w:color w:val="000000"/>
        </w:rPr>
        <w:t xml:space="preserve">. </w:t>
      </w:r>
      <w:r w:rsidR="00243CF3">
        <w:rPr>
          <w:rFonts w:ascii="Cambria" w:hAnsi="Cambria"/>
          <w:color w:val="000000"/>
        </w:rPr>
        <w:t>While</w:t>
      </w:r>
      <w:r w:rsidR="009238FB">
        <w:rPr>
          <w:rFonts w:ascii="Cambria" w:hAnsi="Cambria"/>
          <w:color w:val="000000"/>
        </w:rPr>
        <w:t xml:space="preserve"> data that pool students </w:t>
      </w:r>
      <w:r w:rsidR="00243CF3">
        <w:rPr>
          <w:rFonts w:ascii="Cambria" w:hAnsi="Cambria"/>
          <w:color w:val="000000"/>
        </w:rPr>
        <w:t xml:space="preserve">across numerous </w:t>
      </w:r>
      <w:r w:rsidR="00961CC6">
        <w:rPr>
          <w:rFonts w:ascii="Cambria" w:hAnsi="Cambria"/>
          <w:color w:val="000000"/>
        </w:rPr>
        <w:t>board-university pathway</w:t>
      </w:r>
      <w:r w:rsidR="00243CF3">
        <w:rPr>
          <w:rFonts w:ascii="Cambria" w:hAnsi="Cambria"/>
          <w:color w:val="000000"/>
        </w:rPr>
        <w:t>s</w:t>
      </w:r>
      <w:r w:rsidR="00961CC6">
        <w:rPr>
          <w:rFonts w:ascii="Cambria" w:hAnsi="Cambria"/>
          <w:color w:val="000000"/>
        </w:rPr>
        <w:t xml:space="preserve"> </w:t>
      </w:r>
      <w:r w:rsidR="00243CF3">
        <w:rPr>
          <w:rFonts w:ascii="Cambria" w:hAnsi="Cambria"/>
          <w:color w:val="000000"/>
        </w:rPr>
        <w:t xml:space="preserve">can </w:t>
      </w:r>
      <w:r w:rsidR="00AD072F">
        <w:rPr>
          <w:rFonts w:ascii="Cambria" w:hAnsi="Cambria"/>
          <w:color w:val="000000"/>
        </w:rPr>
        <w:t xml:space="preserve">offer </w:t>
      </w:r>
      <w:r w:rsidR="009238FB">
        <w:rPr>
          <w:rFonts w:ascii="Cambria" w:hAnsi="Cambria"/>
          <w:color w:val="000000"/>
        </w:rPr>
        <w:t>greater breadth and pote</w:t>
      </w:r>
      <w:r w:rsidR="0032155D">
        <w:rPr>
          <w:rFonts w:ascii="Cambria" w:hAnsi="Cambria"/>
          <w:color w:val="000000"/>
        </w:rPr>
        <w:t>ntial generalizability,</w:t>
      </w:r>
      <w:r w:rsidR="009238FB">
        <w:rPr>
          <w:rFonts w:ascii="Cambria" w:hAnsi="Cambria"/>
          <w:color w:val="000000"/>
        </w:rPr>
        <w:t xml:space="preserve"> </w:t>
      </w:r>
      <w:r w:rsidR="00961CC6">
        <w:rPr>
          <w:rFonts w:ascii="Cambria" w:hAnsi="Cambria"/>
          <w:color w:val="000000"/>
        </w:rPr>
        <w:t>o</w:t>
      </w:r>
      <w:r w:rsidR="009238FB">
        <w:rPr>
          <w:rFonts w:ascii="Cambria" w:hAnsi="Cambria"/>
          <w:color w:val="000000"/>
        </w:rPr>
        <w:t xml:space="preserve">ur </w:t>
      </w:r>
      <w:r w:rsidR="00961CC6">
        <w:rPr>
          <w:rFonts w:ascii="Cambria" w:hAnsi="Cambria"/>
          <w:color w:val="000000"/>
        </w:rPr>
        <w:t xml:space="preserve">setting </w:t>
      </w:r>
      <w:r w:rsidR="009238FB">
        <w:rPr>
          <w:rFonts w:ascii="Cambria" w:hAnsi="Cambria"/>
          <w:color w:val="000000"/>
        </w:rPr>
        <w:t>removes a series of potential confounders that might influence students’ propensi</w:t>
      </w:r>
      <w:r w:rsidR="00961CC6">
        <w:rPr>
          <w:rFonts w:ascii="Cambria" w:hAnsi="Cambria"/>
          <w:color w:val="000000"/>
        </w:rPr>
        <w:t>ty</w:t>
      </w:r>
      <w:r w:rsidR="009238FB">
        <w:rPr>
          <w:rFonts w:ascii="Cambria" w:hAnsi="Cambria"/>
          <w:color w:val="000000"/>
        </w:rPr>
        <w:t xml:space="preserve"> to transfer.</w:t>
      </w:r>
    </w:p>
    <w:p w14:paraId="6C8F2BDB" w14:textId="77777777" w:rsidR="00F14699" w:rsidRDefault="009238FB">
      <w:pPr>
        <w:spacing w:after="0"/>
        <w:ind w:left="120"/>
      </w:pPr>
      <w:r>
        <w:rPr>
          <w:rFonts w:ascii="Cambria" w:hAnsi="Cambria"/>
          <w:color w:val="000000"/>
        </w:rPr>
        <w:t> </w:t>
      </w:r>
    </w:p>
    <w:p w14:paraId="4B926F0A" w14:textId="77777777" w:rsidR="00F14699" w:rsidRDefault="009238FB" w:rsidP="00067AC3">
      <w:pPr>
        <w:spacing w:after="0"/>
        <w:ind w:left="120"/>
        <w:jc w:val="center"/>
      </w:pPr>
      <w:r>
        <w:rPr>
          <w:rFonts w:ascii="Cambria" w:hAnsi="Cambria"/>
          <w:b/>
          <w:color w:val="000000"/>
        </w:rPr>
        <w:t>Findings</w:t>
      </w:r>
      <w:r>
        <w:rPr>
          <w:rFonts w:ascii="Cambria" w:hAnsi="Cambria"/>
          <w:color w:val="000000"/>
        </w:rPr>
        <w:t>:</w:t>
      </w:r>
    </w:p>
    <w:p w14:paraId="5138897E" w14:textId="22E902E6" w:rsidR="00F14699" w:rsidRDefault="009238FB">
      <w:pPr>
        <w:spacing w:after="0"/>
        <w:ind w:left="120"/>
      </w:pPr>
      <w:r>
        <w:rPr>
          <w:rFonts w:ascii="Cambria" w:hAnsi="Cambria"/>
          <w:color w:val="000000"/>
        </w:rPr>
        <w:t xml:space="preserve">The major findings reported below are organized into </w:t>
      </w:r>
      <w:r w:rsidR="00DB44BB">
        <w:rPr>
          <w:rFonts w:ascii="Cambria" w:hAnsi="Cambria"/>
          <w:color w:val="000000"/>
        </w:rPr>
        <w:t>six</w:t>
      </w:r>
      <w:r>
        <w:rPr>
          <w:rFonts w:ascii="Cambria" w:hAnsi="Cambria"/>
          <w:color w:val="000000"/>
        </w:rPr>
        <w:t xml:space="preserve"> sections.</w:t>
      </w:r>
    </w:p>
    <w:p w14:paraId="00FF92C0" w14:textId="0A0F76DF" w:rsidR="00067AC3" w:rsidRDefault="00067AC3">
      <w:pPr>
        <w:spacing w:after="0"/>
        <w:ind w:left="120"/>
        <w:rPr>
          <w:rFonts w:ascii="Cambria" w:hAnsi="Cambria"/>
          <w:b/>
          <w:color w:val="000000"/>
        </w:rPr>
      </w:pPr>
    </w:p>
    <w:p w14:paraId="67AD7968" w14:textId="76B01D67" w:rsidR="00F14699" w:rsidRDefault="00911A6D">
      <w:pPr>
        <w:spacing w:after="0"/>
        <w:ind w:left="120"/>
      </w:pPr>
      <w:r>
        <w:rPr>
          <w:rFonts w:ascii="Cambria" w:hAnsi="Cambria"/>
          <w:b/>
          <w:color w:val="000000"/>
        </w:rPr>
        <w:t>Research Question</w:t>
      </w:r>
      <w:r w:rsidR="009238FB">
        <w:rPr>
          <w:rFonts w:ascii="Cambria" w:hAnsi="Cambria"/>
          <w:b/>
          <w:color w:val="000000"/>
        </w:rPr>
        <w:t xml:space="preserve"> 1:</w:t>
      </w:r>
      <w:r>
        <w:rPr>
          <w:rFonts w:ascii="Cambria" w:hAnsi="Cambria"/>
          <w:b/>
          <w:color w:val="000000"/>
        </w:rPr>
        <w:t xml:space="preserve"> </w:t>
      </w:r>
      <w:r w:rsidRPr="00911A6D">
        <w:rPr>
          <w:rFonts w:ascii="Cambria" w:hAnsi="Cambria"/>
          <w:b/>
          <w:color w:val="000000"/>
        </w:rPr>
        <w:t>What is the overall proportion of transfer students?</w:t>
      </w:r>
    </w:p>
    <w:p w14:paraId="0CCBB4F7" w14:textId="2CA7CB7A" w:rsidR="00873A16" w:rsidRDefault="009238FB">
      <w:pPr>
        <w:spacing w:after="0"/>
        <w:ind w:left="120"/>
        <w:rPr>
          <w:rFonts w:ascii="Cambria" w:hAnsi="Cambria"/>
          <w:color w:val="000000"/>
        </w:rPr>
      </w:pPr>
      <w:r>
        <w:rPr>
          <w:rFonts w:ascii="Cambria" w:hAnsi="Cambria"/>
          <w:color w:val="000000"/>
        </w:rPr>
        <w:lastRenderedPageBreak/>
        <w:t xml:space="preserve">            </w:t>
      </w:r>
      <w:r w:rsidR="00A10439">
        <w:rPr>
          <w:rFonts w:ascii="Cambria" w:hAnsi="Cambria"/>
          <w:color w:val="000000"/>
        </w:rPr>
        <w:t xml:space="preserve">Table 1 shows that </w:t>
      </w:r>
      <w:r w:rsidR="00873A16">
        <w:rPr>
          <w:rFonts w:ascii="Cambria" w:hAnsi="Cambria"/>
          <w:color w:val="000000"/>
        </w:rPr>
        <w:t>279</w:t>
      </w:r>
      <w:r>
        <w:rPr>
          <w:rFonts w:ascii="Cambria" w:hAnsi="Cambria"/>
          <w:color w:val="000000"/>
        </w:rPr>
        <w:t xml:space="preserve"> undergraduates in the TDSB-UofT pathway </w:t>
      </w:r>
      <w:r w:rsidR="00873A16">
        <w:rPr>
          <w:rFonts w:ascii="Cambria" w:hAnsi="Cambria"/>
          <w:color w:val="000000"/>
        </w:rPr>
        <w:t>trans</w:t>
      </w:r>
      <w:r>
        <w:rPr>
          <w:rFonts w:ascii="Cambria" w:hAnsi="Cambria"/>
          <w:color w:val="000000"/>
        </w:rPr>
        <w:t>ferred from another ins</w:t>
      </w:r>
      <w:r w:rsidR="00CF5976">
        <w:rPr>
          <w:rFonts w:ascii="Cambria" w:hAnsi="Cambria"/>
          <w:color w:val="000000"/>
        </w:rPr>
        <w:t>titution,</w:t>
      </w:r>
      <w:r>
        <w:rPr>
          <w:rFonts w:ascii="Cambria" w:hAnsi="Cambria"/>
          <w:color w:val="000000"/>
        </w:rPr>
        <w:t xml:space="preserve"> </w:t>
      </w:r>
      <w:r w:rsidR="00873A16">
        <w:rPr>
          <w:rFonts w:ascii="Cambria" w:hAnsi="Cambria"/>
          <w:color w:val="000000"/>
        </w:rPr>
        <w:t xml:space="preserve">representing </w:t>
      </w:r>
      <w:r w:rsidR="001B740B">
        <w:rPr>
          <w:rFonts w:ascii="Cambria" w:hAnsi="Cambria"/>
          <w:color w:val="000000"/>
        </w:rPr>
        <w:t>1.6</w:t>
      </w:r>
      <w:r>
        <w:rPr>
          <w:rFonts w:ascii="Cambria" w:hAnsi="Cambria"/>
          <w:color w:val="000000"/>
        </w:rPr>
        <w:t xml:space="preserve">% of </w:t>
      </w:r>
      <w:r w:rsidR="00873A16">
        <w:rPr>
          <w:rFonts w:ascii="Cambria" w:hAnsi="Cambria"/>
          <w:color w:val="000000"/>
        </w:rPr>
        <w:t>all students</w:t>
      </w:r>
      <w:r>
        <w:rPr>
          <w:rFonts w:ascii="Cambria" w:hAnsi="Cambria"/>
          <w:color w:val="000000"/>
        </w:rPr>
        <w:t>. This rate</w:t>
      </w:r>
      <w:r w:rsidR="0066286A">
        <w:rPr>
          <w:rFonts w:ascii="Cambria" w:hAnsi="Cambria"/>
          <w:color w:val="000000"/>
        </w:rPr>
        <w:t xml:space="preserve"> is less that th</w:t>
      </w:r>
      <w:r w:rsidR="00873A16">
        <w:rPr>
          <w:rFonts w:ascii="Cambria" w:hAnsi="Cambria"/>
          <w:color w:val="000000"/>
        </w:rPr>
        <w:t>at detected in the previous TDSB-UofT Grade 9 cohort, which</w:t>
      </w:r>
      <w:r w:rsidR="00243CF3">
        <w:rPr>
          <w:rFonts w:ascii="Cambria" w:hAnsi="Cambria"/>
          <w:color w:val="000000"/>
        </w:rPr>
        <w:t xml:space="preserve"> </w:t>
      </w:r>
      <w:r w:rsidR="00873A16">
        <w:rPr>
          <w:rFonts w:ascii="Cambria" w:hAnsi="Cambria"/>
          <w:color w:val="000000"/>
        </w:rPr>
        <w:t xml:space="preserve">uncovered a </w:t>
      </w:r>
      <w:r w:rsidR="00243CF3">
        <w:rPr>
          <w:rFonts w:ascii="Cambria" w:hAnsi="Cambria"/>
          <w:color w:val="000000"/>
        </w:rPr>
        <w:t xml:space="preserve">rate of </w:t>
      </w:r>
      <w:r w:rsidR="001B740B">
        <w:rPr>
          <w:rFonts w:ascii="Cambria" w:hAnsi="Cambria"/>
          <w:color w:val="000000"/>
        </w:rPr>
        <w:t>4.5%.</w:t>
      </w:r>
      <w:r w:rsidR="00873A16">
        <w:rPr>
          <w:rFonts w:ascii="Cambria" w:hAnsi="Cambria"/>
          <w:color w:val="000000"/>
        </w:rPr>
        <w:t xml:space="preserve"> This lower rate </w:t>
      </w:r>
      <w:r w:rsidR="00911A6D">
        <w:rPr>
          <w:rFonts w:ascii="Cambria" w:hAnsi="Cambria"/>
          <w:color w:val="000000"/>
        </w:rPr>
        <w:t xml:space="preserve">is most </w:t>
      </w:r>
      <w:r w:rsidR="00873A16">
        <w:rPr>
          <w:rFonts w:ascii="Cambria" w:hAnsi="Cambria"/>
          <w:color w:val="000000"/>
        </w:rPr>
        <w:t xml:space="preserve">likely </w:t>
      </w:r>
      <w:r w:rsidR="00911A6D">
        <w:rPr>
          <w:rFonts w:ascii="Cambria" w:hAnsi="Cambria"/>
          <w:color w:val="000000"/>
        </w:rPr>
        <w:t xml:space="preserve">a product of the different cohort designs used in the previous and current studies, and is discussed further at the end of this report. In brief, the current study included only students who were in the TDSB in grade 12, and thereby eliminated those students who left TDSB between the beginning of grade 9 and grade 12, which were included in the previous study.  Many of those excluded students likely moved out of Toronto during high school, initially enrolled in another institution, and later moved back to UofT to be captured by that study’s cohort design (the latter being the basis of inclusion into these data sets; see Appendix 3 for a further discussion of research methods and designs that estimate varying numbers of transfer students). </w:t>
      </w:r>
    </w:p>
    <w:p w14:paraId="6A19D234" w14:textId="7BA1F1B9" w:rsidR="00911A6D" w:rsidRDefault="00911A6D">
      <w:pPr>
        <w:spacing w:after="0"/>
        <w:ind w:left="120"/>
        <w:rPr>
          <w:rFonts w:ascii="Cambria" w:hAnsi="Cambria"/>
          <w:color w:val="000000"/>
        </w:rPr>
      </w:pPr>
    </w:p>
    <w:p w14:paraId="739D0E4D" w14:textId="78C13EE8" w:rsidR="00C65F74" w:rsidRDefault="00911A6D">
      <w:pPr>
        <w:spacing w:after="0"/>
        <w:ind w:left="120"/>
        <w:rPr>
          <w:rFonts w:ascii="Cambria" w:hAnsi="Cambria"/>
          <w:color w:val="000000"/>
        </w:rPr>
      </w:pPr>
      <w:r>
        <w:rPr>
          <w:rFonts w:ascii="Cambria" w:hAnsi="Cambria"/>
          <w:color w:val="000000"/>
        </w:rPr>
        <w:tab/>
        <w:t xml:space="preserve">Table 1 also shows that among those 279 transfer students, 122 (44%) came from another Ontario university. The next largest source of transfers were Ontario community colleges (28%). Another 16% came from Canadian universities in other provinces. A further 10% came from international universities. The remaining 3% transferred from private career colleges. In total, about 70% of transfers were from universities and about 30% from community or private career colleges. </w:t>
      </w:r>
    </w:p>
    <w:p w14:paraId="73998DAB" w14:textId="64DCC28B" w:rsidR="00C24543" w:rsidRDefault="00C24543">
      <w:pPr>
        <w:spacing w:after="0"/>
        <w:ind w:left="120"/>
        <w:rPr>
          <w:rFonts w:ascii="Cambria" w:hAnsi="Cambria"/>
          <w:color w:val="000000"/>
        </w:rPr>
      </w:pPr>
    </w:p>
    <w:p w14:paraId="1D8EDD63" w14:textId="2F9E62E8" w:rsidR="00F14699" w:rsidRDefault="00911A6D">
      <w:pPr>
        <w:spacing w:after="0"/>
        <w:ind w:left="120"/>
      </w:pPr>
      <w:r>
        <w:rPr>
          <w:rFonts w:ascii="Cambria" w:hAnsi="Cambria"/>
          <w:b/>
          <w:color w:val="000000"/>
        </w:rPr>
        <w:t>Research Question</w:t>
      </w:r>
      <w:r w:rsidR="009238FB">
        <w:rPr>
          <w:rFonts w:ascii="Cambria" w:hAnsi="Cambria"/>
          <w:b/>
          <w:color w:val="000000"/>
        </w:rPr>
        <w:t xml:space="preserve"> 2: </w:t>
      </w:r>
      <w:r>
        <w:rPr>
          <w:rFonts w:ascii="Cambria" w:hAnsi="Cambria"/>
          <w:color w:val="000000"/>
        </w:rPr>
        <w:t xml:space="preserve"> </w:t>
      </w:r>
      <w:r w:rsidRPr="00911A6D">
        <w:rPr>
          <w:rFonts w:ascii="Cambria" w:hAnsi="Cambria"/>
          <w:b/>
          <w:color w:val="000000"/>
        </w:rPr>
        <w:t>From which postsecondary institutions do students transfer into UofT?</w:t>
      </w:r>
    </w:p>
    <w:p w14:paraId="1D167BB9" w14:textId="1BE9FB7A" w:rsidR="00F14699" w:rsidRDefault="009238FB">
      <w:pPr>
        <w:spacing w:after="0"/>
        <w:ind w:left="120"/>
      </w:pPr>
      <w:r>
        <w:rPr>
          <w:rFonts w:ascii="Cambria" w:hAnsi="Cambria"/>
          <w:color w:val="000000"/>
        </w:rPr>
        <w:t xml:space="preserve">            From which postsecondary institutions do former TDSB students transfer into UofT? </w:t>
      </w:r>
      <w:r w:rsidR="00844548">
        <w:rPr>
          <w:rFonts w:ascii="Cambria" w:hAnsi="Cambria"/>
          <w:color w:val="000000"/>
        </w:rPr>
        <w:t>M</w:t>
      </w:r>
      <w:r>
        <w:rPr>
          <w:rFonts w:ascii="Cambria" w:hAnsi="Cambria"/>
          <w:color w:val="000000"/>
        </w:rPr>
        <w:t xml:space="preserve">ost </w:t>
      </w:r>
      <w:r w:rsidR="009B31A0">
        <w:rPr>
          <w:rFonts w:ascii="Cambria" w:hAnsi="Cambria"/>
          <w:color w:val="000000"/>
        </w:rPr>
        <w:t xml:space="preserve">of those institutions </w:t>
      </w:r>
      <w:r w:rsidR="0047701A">
        <w:rPr>
          <w:rFonts w:ascii="Cambria" w:hAnsi="Cambria"/>
          <w:color w:val="000000"/>
        </w:rPr>
        <w:t xml:space="preserve">are </w:t>
      </w:r>
      <w:r>
        <w:rPr>
          <w:rFonts w:ascii="Cambria" w:hAnsi="Cambria"/>
          <w:color w:val="000000"/>
        </w:rPr>
        <w:t>in the City of Toronto and its surrounding Southern Ontario region. </w:t>
      </w:r>
      <w:r w:rsidR="00844548">
        <w:rPr>
          <w:rFonts w:ascii="Cambria" w:hAnsi="Cambria"/>
          <w:color w:val="000000"/>
        </w:rPr>
        <w:t>Table 2 shows that a</w:t>
      </w:r>
      <w:r>
        <w:rPr>
          <w:rFonts w:ascii="Cambria" w:hAnsi="Cambria"/>
          <w:color w:val="000000"/>
        </w:rPr>
        <w:t>mong th</w:t>
      </w:r>
      <w:r w:rsidR="006622D0">
        <w:rPr>
          <w:rFonts w:ascii="Cambria" w:hAnsi="Cambria"/>
          <w:color w:val="000000"/>
        </w:rPr>
        <w:t xml:space="preserve">e 122 </w:t>
      </w:r>
      <w:r>
        <w:rPr>
          <w:rFonts w:ascii="Cambria" w:hAnsi="Cambria"/>
          <w:color w:val="000000"/>
        </w:rPr>
        <w:t>transfers from Ontario universit</w:t>
      </w:r>
      <w:r w:rsidR="0047701A">
        <w:rPr>
          <w:rFonts w:ascii="Cambria" w:hAnsi="Cambria"/>
          <w:color w:val="000000"/>
        </w:rPr>
        <w:t>ies</w:t>
      </w:r>
      <w:r>
        <w:rPr>
          <w:rFonts w:ascii="Cambria" w:hAnsi="Cambria"/>
          <w:color w:val="000000"/>
        </w:rPr>
        <w:t xml:space="preserve">, the largest numbers </w:t>
      </w:r>
      <w:r w:rsidR="0047701A">
        <w:rPr>
          <w:rFonts w:ascii="Cambria" w:hAnsi="Cambria"/>
          <w:color w:val="000000"/>
        </w:rPr>
        <w:t xml:space="preserve">were </w:t>
      </w:r>
      <w:r>
        <w:rPr>
          <w:rFonts w:ascii="Cambria" w:hAnsi="Cambria"/>
          <w:color w:val="000000"/>
        </w:rPr>
        <w:t xml:space="preserve">from </w:t>
      </w:r>
      <w:r w:rsidR="00911A6D">
        <w:rPr>
          <w:rFonts w:ascii="Cambria" w:hAnsi="Cambria"/>
          <w:color w:val="000000"/>
        </w:rPr>
        <w:t xml:space="preserve">two </w:t>
      </w:r>
      <w:r>
        <w:rPr>
          <w:rFonts w:ascii="Cambria" w:hAnsi="Cambria"/>
          <w:color w:val="000000"/>
        </w:rPr>
        <w:t>nearby</w:t>
      </w:r>
      <w:r w:rsidR="0047701A">
        <w:rPr>
          <w:rFonts w:ascii="Cambria" w:hAnsi="Cambria"/>
          <w:color w:val="000000"/>
        </w:rPr>
        <w:t xml:space="preserve"> institutions</w:t>
      </w:r>
      <w:r>
        <w:rPr>
          <w:rFonts w:ascii="Cambria" w:hAnsi="Cambria"/>
          <w:color w:val="000000"/>
        </w:rPr>
        <w:t>:  York University (</w:t>
      </w:r>
      <w:r w:rsidR="006622D0">
        <w:rPr>
          <w:rFonts w:ascii="Cambria" w:hAnsi="Cambria"/>
          <w:color w:val="000000"/>
        </w:rPr>
        <w:t>20</w:t>
      </w:r>
      <w:r>
        <w:rPr>
          <w:rFonts w:ascii="Cambria" w:hAnsi="Cambria"/>
          <w:color w:val="000000"/>
        </w:rPr>
        <w:t xml:space="preserve"> students) and Ryerson University (</w:t>
      </w:r>
      <w:r w:rsidR="006622D0">
        <w:rPr>
          <w:rFonts w:ascii="Cambria" w:hAnsi="Cambria"/>
          <w:color w:val="000000"/>
        </w:rPr>
        <w:t>20</w:t>
      </w:r>
      <w:r w:rsidR="00911A6D">
        <w:rPr>
          <w:rFonts w:ascii="Cambria" w:hAnsi="Cambria"/>
          <w:color w:val="000000"/>
        </w:rPr>
        <w:t>)</w:t>
      </w:r>
      <w:r>
        <w:rPr>
          <w:rFonts w:ascii="Cambria" w:hAnsi="Cambria"/>
          <w:color w:val="000000"/>
        </w:rPr>
        <w:t xml:space="preserve">.  The next </w:t>
      </w:r>
      <w:r w:rsidR="0047701A">
        <w:rPr>
          <w:rFonts w:ascii="Cambria" w:hAnsi="Cambria"/>
          <w:color w:val="000000"/>
        </w:rPr>
        <w:t xml:space="preserve">largest numbers were </w:t>
      </w:r>
      <w:r>
        <w:rPr>
          <w:rFonts w:ascii="Cambria" w:hAnsi="Cambria"/>
          <w:color w:val="000000"/>
        </w:rPr>
        <w:t xml:space="preserve">from </w:t>
      </w:r>
      <w:r w:rsidR="00911A6D">
        <w:rPr>
          <w:rFonts w:ascii="Cambria" w:hAnsi="Cambria"/>
          <w:color w:val="000000"/>
        </w:rPr>
        <w:t xml:space="preserve">institutions in </w:t>
      </w:r>
      <w:r>
        <w:rPr>
          <w:rFonts w:ascii="Cambria" w:hAnsi="Cambria"/>
          <w:color w:val="000000"/>
        </w:rPr>
        <w:t>Southwestern Ontario:</w:t>
      </w:r>
      <w:r w:rsidR="006622D0">
        <w:rPr>
          <w:rFonts w:ascii="Cambria" w:hAnsi="Cambria"/>
          <w:color w:val="000000"/>
        </w:rPr>
        <w:t xml:space="preserve"> Guelph (15) and Western (12). </w:t>
      </w:r>
      <w:r>
        <w:rPr>
          <w:rFonts w:ascii="Cambria" w:hAnsi="Cambria"/>
          <w:color w:val="000000"/>
        </w:rPr>
        <w:t xml:space="preserve">Sizeable numbers also transferred from </w:t>
      </w:r>
      <w:r w:rsidR="00911A6D">
        <w:rPr>
          <w:rFonts w:ascii="Cambria" w:hAnsi="Cambria"/>
          <w:color w:val="000000"/>
        </w:rPr>
        <w:t>universities in Eastern</w:t>
      </w:r>
      <w:r w:rsidR="006622D0">
        <w:rPr>
          <w:rFonts w:ascii="Cambria" w:hAnsi="Cambria"/>
          <w:color w:val="000000"/>
        </w:rPr>
        <w:t xml:space="preserve"> </w:t>
      </w:r>
      <w:r>
        <w:rPr>
          <w:rFonts w:ascii="Cambria" w:hAnsi="Cambria"/>
          <w:color w:val="000000"/>
        </w:rPr>
        <w:t>Ontario: Queens (</w:t>
      </w:r>
      <w:r w:rsidR="006622D0">
        <w:rPr>
          <w:rFonts w:ascii="Cambria" w:hAnsi="Cambria"/>
          <w:color w:val="000000"/>
        </w:rPr>
        <w:t>10</w:t>
      </w:r>
      <w:r>
        <w:rPr>
          <w:rFonts w:ascii="Cambria" w:hAnsi="Cambria"/>
          <w:color w:val="000000"/>
        </w:rPr>
        <w:t xml:space="preserve">), </w:t>
      </w:r>
      <w:r w:rsidR="006622D0">
        <w:rPr>
          <w:rFonts w:ascii="Cambria" w:hAnsi="Cambria"/>
          <w:color w:val="000000"/>
        </w:rPr>
        <w:t xml:space="preserve">and </w:t>
      </w:r>
      <w:r>
        <w:rPr>
          <w:rFonts w:ascii="Cambria" w:hAnsi="Cambria"/>
          <w:color w:val="000000"/>
        </w:rPr>
        <w:t xml:space="preserve">Ottawa </w:t>
      </w:r>
      <w:r w:rsidR="009B31A0">
        <w:rPr>
          <w:rFonts w:ascii="Cambria" w:hAnsi="Cambria"/>
          <w:color w:val="000000"/>
        </w:rPr>
        <w:t>(</w:t>
      </w:r>
      <w:r w:rsidR="006622D0">
        <w:rPr>
          <w:rFonts w:ascii="Cambria" w:hAnsi="Cambria"/>
          <w:color w:val="000000"/>
        </w:rPr>
        <w:t>6</w:t>
      </w:r>
      <w:r>
        <w:rPr>
          <w:rFonts w:ascii="Cambria" w:hAnsi="Cambria"/>
          <w:color w:val="000000"/>
        </w:rPr>
        <w:t xml:space="preserve">). Overall, </w:t>
      </w:r>
      <w:r w:rsidR="006622D0">
        <w:rPr>
          <w:rFonts w:ascii="Cambria" w:hAnsi="Cambria"/>
          <w:color w:val="000000"/>
        </w:rPr>
        <w:t>about 1/3</w:t>
      </w:r>
      <w:r>
        <w:rPr>
          <w:rFonts w:ascii="Cambria" w:hAnsi="Cambria"/>
          <w:color w:val="000000"/>
        </w:rPr>
        <w:t xml:space="preserve"> of all transfers </w:t>
      </w:r>
      <w:r w:rsidR="006622D0">
        <w:rPr>
          <w:rFonts w:ascii="Cambria" w:hAnsi="Cambria"/>
          <w:color w:val="000000"/>
        </w:rPr>
        <w:t xml:space="preserve">from Ontario universities </w:t>
      </w:r>
      <w:r>
        <w:rPr>
          <w:rFonts w:ascii="Cambria" w:hAnsi="Cambria"/>
          <w:color w:val="000000"/>
        </w:rPr>
        <w:t>came from</w:t>
      </w:r>
      <w:r w:rsidR="006622D0">
        <w:rPr>
          <w:rFonts w:ascii="Cambria" w:hAnsi="Cambria"/>
          <w:color w:val="000000"/>
        </w:rPr>
        <w:t xml:space="preserve"> Toronto-based institutions</w:t>
      </w:r>
      <w:r>
        <w:rPr>
          <w:rFonts w:ascii="Cambria" w:hAnsi="Cambria"/>
          <w:color w:val="000000"/>
        </w:rPr>
        <w:t>.  </w:t>
      </w:r>
    </w:p>
    <w:p w14:paraId="305BF754" w14:textId="027F51C1" w:rsidR="00F14699" w:rsidRDefault="009238FB">
      <w:pPr>
        <w:spacing w:after="0"/>
        <w:ind w:left="120"/>
      </w:pPr>
      <w:r>
        <w:rPr>
          <w:rFonts w:ascii="Cambria" w:hAnsi="Cambria"/>
          <w:color w:val="000000"/>
        </w:rPr>
        <w:t xml:space="preserve">            Among the </w:t>
      </w:r>
      <w:r w:rsidR="006622D0">
        <w:rPr>
          <w:rFonts w:ascii="Cambria" w:hAnsi="Cambria"/>
          <w:color w:val="000000"/>
        </w:rPr>
        <w:t>44</w:t>
      </w:r>
      <w:r>
        <w:rPr>
          <w:rFonts w:ascii="Cambria" w:hAnsi="Cambria"/>
          <w:color w:val="000000"/>
        </w:rPr>
        <w:t xml:space="preserve"> students (</w:t>
      </w:r>
      <w:r w:rsidR="006622D0">
        <w:rPr>
          <w:rFonts w:ascii="Cambria" w:hAnsi="Cambria"/>
          <w:color w:val="000000"/>
        </w:rPr>
        <w:t>16</w:t>
      </w:r>
      <w:r>
        <w:rPr>
          <w:rFonts w:ascii="Cambria" w:hAnsi="Cambria"/>
          <w:color w:val="000000"/>
        </w:rPr>
        <w:t>% of all</w:t>
      </w:r>
      <w:r w:rsidR="00911A6D">
        <w:rPr>
          <w:rFonts w:ascii="Cambria" w:hAnsi="Cambria"/>
          <w:color w:val="000000"/>
        </w:rPr>
        <w:t>)</w:t>
      </w:r>
      <w:r>
        <w:rPr>
          <w:rFonts w:ascii="Cambria" w:hAnsi="Cambria"/>
          <w:color w:val="000000"/>
        </w:rPr>
        <w:t xml:space="preserve"> transfer</w:t>
      </w:r>
      <w:r w:rsidR="00911A6D">
        <w:rPr>
          <w:rFonts w:ascii="Cambria" w:hAnsi="Cambria"/>
          <w:color w:val="000000"/>
        </w:rPr>
        <w:t xml:space="preserve">ring </w:t>
      </w:r>
      <w:r>
        <w:rPr>
          <w:rFonts w:ascii="Cambria" w:hAnsi="Cambria"/>
          <w:color w:val="000000"/>
        </w:rPr>
        <w:t>from universities in other provinces, the largest numbers were from</w:t>
      </w:r>
      <w:r w:rsidR="006622D0">
        <w:rPr>
          <w:rFonts w:ascii="Cambria" w:hAnsi="Cambria"/>
          <w:color w:val="000000"/>
        </w:rPr>
        <w:t xml:space="preserve"> Dalhousie (12)</w:t>
      </w:r>
      <w:r>
        <w:rPr>
          <w:rFonts w:ascii="Cambria" w:hAnsi="Cambria"/>
          <w:color w:val="000000"/>
        </w:rPr>
        <w:t xml:space="preserve"> </w:t>
      </w:r>
      <w:r w:rsidR="006622D0">
        <w:rPr>
          <w:rFonts w:ascii="Cambria" w:hAnsi="Cambria"/>
          <w:color w:val="000000"/>
        </w:rPr>
        <w:t xml:space="preserve">and Kings College University </w:t>
      </w:r>
      <w:r>
        <w:rPr>
          <w:rFonts w:ascii="Cambria" w:hAnsi="Cambria"/>
          <w:color w:val="000000"/>
        </w:rPr>
        <w:t>(</w:t>
      </w:r>
      <w:r w:rsidR="006622D0">
        <w:rPr>
          <w:rFonts w:ascii="Cambria" w:hAnsi="Cambria"/>
          <w:color w:val="000000"/>
        </w:rPr>
        <w:t>8</w:t>
      </w:r>
      <w:r>
        <w:rPr>
          <w:rFonts w:ascii="Cambria" w:hAnsi="Cambria"/>
          <w:color w:val="000000"/>
        </w:rPr>
        <w:t xml:space="preserve">). The </w:t>
      </w:r>
      <w:r w:rsidR="006622D0">
        <w:rPr>
          <w:rFonts w:ascii="Cambria" w:hAnsi="Cambria"/>
          <w:color w:val="000000"/>
        </w:rPr>
        <w:t>10</w:t>
      </w:r>
      <w:r>
        <w:rPr>
          <w:rFonts w:ascii="Cambria" w:hAnsi="Cambria"/>
          <w:color w:val="000000"/>
        </w:rPr>
        <w:t>%</w:t>
      </w:r>
      <w:r w:rsidR="006622D0">
        <w:rPr>
          <w:rFonts w:ascii="Cambria" w:hAnsi="Cambria"/>
          <w:color w:val="000000"/>
        </w:rPr>
        <w:t xml:space="preserve"> of transfers </w:t>
      </w:r>
      <w:r>
        <w:rPr>
          <w:rFonts w:ascii="Cambria" w:hAnsi="Cambria"/>
          <w:color w:val="000000"/>
        </w:rPr>
        <w:t xml:space="preserve">from international universities </w:t>
      </w:r>
      <w:r w:rsidR="000F71F2">
        <w:rPr>
          <w:rFonts w:ascii="Cambria" w:hAnsi="Cambria"/>
          <w:color w:val="000000"/>
        </w:rPr>
        <w:t xml:space="preserve">were </w:t>
      </w:r>
      <w:r>
        <w:rPr>
          <w:rFonts w:ascii="Cambria" w:hAnsi="Cambria"/>
          <w:color w:val="000000"/>
        </w:rPr>
        <w:t xml:space="preserve">mostly from the United States, while </w:t>
      </w:r>
      <w:r w:rsidR="006622D0">
        <w:rPr>
          <w:rFonts w:ascii="Cambria" w:hAnsi="Cambria"/>
          <w:color w:val="000000"/>
        </w:rPr>
        <w:t xml:space="preserve">some </w:t>
      </w:r>
      <w:r>
        <w:rPr>
          <w:rFonts w:ascii="Cambria" w:hAnsi="Cambria"/>
          <w:color w:val="000000"/>
        </w:rPr>
        <w:t xml:space="preserve">came from </w:t>
      </w:r>
      <w:r w:rsidR="006622D0">
        <w:rPr>
          <w:rFonts w:ascii="Cambria" w:hAnsi="Cambria"/>
          <w:color w:val="000000"/>
        </w:rPr>
        <w:t xml:space="preserve">institutions </w:t>
      </w:r>
      <w:r>
        <w:rPr>
          <w:rFonts w:ascii="Cambria" w:hAnsi="Cambria"/>
          <w:color w:val="000000"/>
        </w:rPr>
        <w:t>in Europe, the Middle East and Asia.  Th</w:t>
      </w:r>
      <w:r w:rsidR="000F71F2">
        <w:rPr>
          <w:rFonts w:ascii="Cambria" w:hAnsi="Cambria"/>
          <w:color w:val="000000"/>
        </w:rPr>
        <w:t>o</w:t>
      </w:r>
      <w:r>
        <w:rPr>
          <w:rFonts w:ascii="Cambria" w:hAnsi="Cambria"/>
          <w:color w:val="000000"/>
        </w:rPr>
        <w:t>se students took complex paths into UofT, mov</w:t>
      </w:r>
      <w:r w:rsidR="000F71F2">
        <w:rPr>
          <w:rFonts w:ascii="Cambria" w:hAnsi="Cambria"/>
          <w:color w:val="000000"/>
        </w:rPr>
        <w:t>ing</w:t>
      </w:r>
      <w:r>
        <w:rPr>
          <w:rFonts w:ascii="Cambria" w:hAnsi="Cambria"/>
          <w:color w:val="000000"/>
        </w:rPr>
        <w:t xml:space="preserve"> from the TDSB to another country only to return to Toronto. </w:t>
      </w:r>
      <w:r w:rsidR="00583C5A">
        <w:rPr>
          <w:rFonts w:ascii="Cambria" w:hAnsi="Cambria"/>
          <w:color w:val="000000"/>
        </w:rPr>
        <w:t xml:space="preserve"> </w:t>
      </w:r>
      <w:r w:rsidR="006622D0">
        <w:rPr>
          <w:rFonts w:ascii="Cambria" w:hAnsi="Cambria"/>
          <w:color w:val="000000"/>
        </w:rPr>
        <w:t>Finally, a</w:t>
      </w:r>
      <w:r>
        <w:rPr>
          <w:rFonts w:ascii="Cambria" w:hAnsi="Cambria"/>
          <w:color w:val="000000"/>
        </w:rPr>
        <w:t xml:space="preserve">mong the </w:t>
      </w:r>
      <w:r w:rsidR="006622D0">
        <w:rPr>
          <w:rFonts w:ascii="Cambria" w:hAnsi="Cambria"/>
          <w:color w:val="000000"/>
        </w:rPr>
        <w:t xml:space="preserve">78 </w:t>
      </w:r>
      <w:r>
        <w:rPr>
          <w:rFonts w:ascii="Cambria" w:hAnsi="Cambria"/>
          <w:color w:val="000000"/>
        </w:rPr>
        <w:t>transfers from Ontario community college</w:t>
      </w:r>
      <w:r w:rsidR="000F71F2">
        <w:rPr>
          <w:rFonts w:ascii="Cambria" w:hAnsi="Cambria"/>
          <w:color w:val="000000"/>
        </w:rPr>
        <w:t>s</w:t>
      </w:r>
      <w:r w:rsidR="006622D0">
        <w:rPr>
          <w:rFonts w:ascii="Cambria" w:hAnsi="Cambria"/>
          <w:color w:val="000000"/>
        </w:rPr>
        <w:t xml:space="preserve"> (28% of all transfers)</w:t>
      </w:r>
      <w:r>
        <w:rPr>
          <w:rFonts w:ascii="Cambria" w:hAnsi="Cambria"/>
          <w:color w:val="000000"/>
        </w:rPr>
        <w:t xml:space="preserve">, </w:t>
      </w:r>
      <w:r w:rsidR="0007187D">
        <w:rPr>
          <w:rFonts w:ascii="Cambria" w:hAnsi="Cambria"/>
          <w:color w:val="000000"/>
        </w:rPr>
        <w:t>a</w:t>
      </w:r>
      <w:r w:rsidR="00911A6D">
        <w:rPr>
          <w:rFonts w:ascii="Cambria" w:hAnsi="Cambria"/>
          <w:color w:val="000000"/>
        </w:rPr>
        <w:t xml:space="preserve">lmost all </w:t>
      </w:r>
      <w:r w:rsidR="0007187D">
        <w:rPr>
          <w:rFonts w:ascii="Cambria" w:hAnsi="Cambria"/>
          <w:color w:val="000000"/>
        </w:rPr>
        <w:t xml:space="preserve">came from Toronto-based institutions, with </w:t>
      </w:r>
      <w:r>
        <w:rPr>
          <w:rFonts w:ascii="Cambria" w:hAnsi="Cambria"/>
          <w:color w:val="000000"/>
        </w:rPr>
        <w:t>the largest numbers from</w:t>
      </w:r>
      <w:r w:rsidR="0007187D">
        <w:rPr>
          <w:rFonts w:ascii="Cambria" w:hAnsi="Cambria"/>
          <w:color w:val="000000"/>
        </w:rPr>
        <w:t xml:space="preserve"> George Brown (19), Seneca (18), Humber (18)</w:t>
      </w:r>
      <w:r>
        <w:rPr>
          <w:rFonts w:ascii="Cambria" w:hAnsi="Cambria"/>
          <w:color w:val="000000"/>
        </w:rPr>
        <w:t xml:space="preserve"> </w:t>
      </w:r>
      <w:r w:rsidR="0007187D">
        <w:rPr>
          <w:rFonts w:ascii="Cambria" w:hAnsi="Cambria"/>
          <w:color w:val="000000"/>
        </w:rPr>
        <w:t xml:space="preserve">and </w:t>
      </w:r>
      <w:r>
        <w:rPr>
          <w:rFonts w:ascii="Cambria" w:hAnsi="Cambria"/>
          <w:color w:val="000000"/>
        </w:rPr>
        <w:t>Centennial (</w:t>
      </w:r>
      <w:r w:rsidR="0007187D">
        <w:rPr>
          <w:rFonts w:ascii="Cambria" w:hAnsi="Cambria"/>
          <w:color w:val="000000"/>
        </w:rPr>
        <w:t>15</w:t>
      </w:r>
      <w:r>
        <w:rPr>
          <w:rFonts w:ascii="Cambria" w:hAnsi="Cambria"/>
          <w:color w:val="000000"/>
        </w:rPr>
        <w:t>)</w:t>
      </w:r>
      <w:r w:rsidR="000F71F2">
        <w:rPr>
          <w:rFonts w:ascii="Cambria" w:hAnsi="Cambria"/>
          <w:color w:val="000000"/>
        </w:rPr>
        <w:t>.</w:t>
      </w:r>
      <w:r>
        <w:rPr>
          <w:rFonts w:ascii="Cambria" w:hAnsi="Cambria"/>
          <w:color w:val="000000"/>
        </w:rPr>
        <w:t xml:space="preserve"> </w:t>
      </w:r>
    </w:p>
    <w:p w14:paraId="532C2AC2" w14:textId="36D835B7" w:rsidR="00F14699" w:rsidRDefault="009238FB">
      <w:pPr>
        <w:spacing w:after="0"/>
        <w:ind w:left="120"/>
      </w:pPr>
      <w:r>
        <w:rPr>
          <w:rFonts w:ascii="Cambria" w:hAnsi="Cambria"/>
          <w:color w:val="000000"/>
        </w:rPr>
        <w:t xml:space="preserve">            Overall, </w:t>
      </w:r>
      <w:r w:rsidR="00583C5A">
        <w:rPr>
          <w:rFonts w:ascii="Cambria" w:hAnsi="Cambria"/>
          <w:color w:val="000000"/>
        </w:rPr>
        <w:t>the majority of</w:t>
      </w:r>
      <w:r w:rsidR="0007187D">
        <w:rPr>
          <w:rFonts w:ascii="Cambria" w:hAnsi="Cambria"/>
          <w:color w:val="000000"/>
        </w:rPr>
        <w:t xml:space="preserve"> former TDSB students</w:t>
      </w:r>
      <w:r w:rsidR="00583C5A">
        <w:rPr>
          <w:rFonts w:ascii="Cambria" w:hAnsi="Cambria"/>
          <w:color w:val="000000"/>
        </w:rPr>
        <w:t xml:space="preserve"> </w:t>
      </w:r>
      <w:r w:rsidR="0007187D">
        <w:rPr>
          <w:rFonts w:ascii="Cambria" w:hAnsi="Cambria"/>
          <w:color w:val="000000"/>
        </w:rPr>
        <w:t xml:space="preserve">who </w:t>
      </w:r>
      <w:r w:rsidR="00583C5A">
        <w:rPr>
          <w:rFonts w:ascii="Cambria" w:hAnsi="Cambria"/>
          <w:color w:val="000000"/>
        </w:rPr>
        <w:t>transfer</w:t>
      </w:r>
      <w:r w:rsidR="0007187D">
        <w:rPr>
          <w:rFonts w:ascii="Cambria" w:hAnsi="Cambria"/>
          <w:color w:val="000000"/>
        </w:rPr>
        <w:t>red</w:t>
      </w:r>
      <w:r w:rsidR="00583C5A">
        <w:rPr>
          <w:rFonts w:ascii="Cambria" w:hAnsi="Cambria"/>
          <w:color w:val="000000"/>
        </w:rPr>
        <w:t xml:space="preserve"> into UofT c</w:t>
      </w:r>
      <w:r w:rsidR="009B31A0">
        <w:rPr>
          <w:rFonts w:ascii="Cambria" w:hAnsi="Cambria"/>
          <w:color w:val="000000"/>
        </w:rPr>
        <w:t>a</w:t>
      </w:r>
      <w:r w:rsidR="00583C5A">
        <w:rPr>
          <w:rFonts w:ascii="Cambria" w:hAnsi="Cambria"/>
          <w:color w:val="000000"/>
        </w:rPr>
        <w:t>me from Ontario institutions, with m</w:t>
      </w:r>
      <w:r>
        <w:rPr>
          <w:rFonts w:ascii="Cambria" w:hAnsi="Cambria"/>
          <w:color w:val="000000"/>
        </w:rPr>
        <w:t xml:space="preserve">ost </w:t>
      </w:r>
      <w:r w:rsidR="00583C5A">
        <w:rPr>
          <w:rFonts w:ascii="Cambria" w:hAnsi="Cambria"/>
          <w:color w:val="000000"/>
        </w:rPr>
        <w:t xml:space="preserve">entering </w:t>
      </w:r>
      <w:r>
        <w:rPr>
          <w:rFonts w:ascii="Cambria" w:hAnsi="Cambria"/>
          <w:color w:val="000000"/>
        </w:rPr>
        <w:t>from nearby universities and colleges</w:t>
      </w:r>
      <w:r w:rsidR="00583C5A">
        <w:rPr>
          <w:rFonts w:ascii="Cambria" w:hAnsi="Cambria"/>
          <w:color w:val="000000"/>
        </w:rPr>
        <w:t>. O</w:t>
      </w:r>
      <w:r>
        <w:rPr>
          <w:rFonts w:ascii="Cambria" w:hAnsi="Cambria"/>
          <w:color w:val="000000"/>
        </w:rPr>
        <w:t xml:space="preserve">nly a </w:t>
      </w:r>
      <w:r w:rsidR="0007187D">
        <w:rPr>
          <w:rFonts w:ascii="Cambria" w:hAnsi="Cambria"/>
          <w:color w:val="000000"/>
        </w:rPr>
        <w:t xml:space="preserve">quarter </w:t>
      </w:r>
      <w:r w:rsidR="00A81A0C">
        <w:rPr>
          <w:rFonts w:ascii="Cambria" w:hAnsi="Cambria"/>
          <w:color w:val="000000"/>
        </w:rPr>
        <w:t xml:space="preserve">were </w:t>
      </w:r>
      <w:r>
        <w:rPr>
          <w:rFonts w:ascii="Cambria" w:hAnsi="Cambria"/>
          <w:color w:val="000000"/>
        </w:rPr>
        <w:t xml:space="preserve">from </w:t>
      </w:r>
      <w:r w:rsidR="0007187D">
        <w:rPr>
          <w:rFonts w:ascii="Cambria" w:hAnsi="Cambria"/>
          <w:color w:val="000000"/>
        </w:rPr>
        <w:t>institutions</w:t>
      </w:r>
      <w:r>
        <w:rPr>
          <w:rFonts w:ascii="Cambria" w:hAnsi="Cambria"/>
          <w:color w:val="000000"/>
        </w:rPr>
        <w:t xml:space="preserve"> beyond provincial borders.  </w:t>
      </w:r>
    </w:p>
    <w:p w14:paraId="60712BC4" w14:textId="717A8FC8" w:rsidR="00067AC3" w:rsidRDefault="00067AC3">
      <w:pPr>
        <w:spacing w:after="0"/>
        <w:ind w:left="120"/>
        <w:rPr>
          <w:rFonts w:ascii="Cambria" w:hAnsi="Cambria"/>
          <w:b/>
          <w:color w:val="000000"/>
        </w:rPr>
      </w:pPr>
    </w:p>
    <w:p w14:paraId="05EAF022" w14:textId="6582D600" w:rsidR="005C7991" w:rsidRPr="005C7991" w:rsidRDefault="005C7991">
      <w:pPr>
        <w:spacing w:after="0"/>
        <w:ind w:left="120"/>
        <w:rPr>
          <w:rFonts w:ascii="Cambria" w:hAnsi="Cambria"/>
          <w:b/>
          <w:color w:val="000000"/>
        </w:rPr>
      </w:pPr>
      <w:r w:rsidRPr="005C7991">
        <w:rPr>
          <w:rFonts w:ascii="Cambria" w:hAnsi="Cambria"/>
          <w:b/>
          <w:color w:val="000000"/>
        </w:rPr>
        <w:lastRenderedPageBreak/>
        <w:t xml:space="preserve">Research Question 3: Do transfer and direct entry students differ </w:t>
      </w:r>
      <w:r w:rsidR="00DB44BB">
        <w:rPr>
          <w:rFonts w:ascii="Cambria" w:hAnsi="Cambria"/>
          <w:b/>
          <w:color w:val="000000"/>
        </w:rPr>
        <w:t xml:space="preserve">by </w:t>
      </w:r>
      <w:r w:rsidRPr="005C7991">
        <w:rPr>
          <w:rFonts w:ascii="Cambria" w:hAnsi="Cambria"/>
          <w:b/>
          <w:color w:val="000000"/>
        </w:rPr>
        <w:t>demographic and academic profiles?</w:t>
      </w:r>
    </w:p>
    <w:p w14:paraId="04BDA8A8" w14:textId="37BB012F" w:rsidR="00DB44BB" w:rsidRDefault="00DB44BB" w:rsidP="00DB44BB">
      <w:pPr>
        <w:spacing w:after="0"/>
        <w:ind w:left="120"/>
      </w:pPr>
      <w:r>
        <w:rPr>
          <w:rFonts w:ascii="Cambria" w:hAnsi="Cambria"/>
          <w:color w:val="000000"/>
        </w:rPr>
        <w:t xml:space="preserve">            Table </w:t>
      </w:r>
      <w:r w:rsidR="000E7BD3">
        <w:rPr>
          <w:rFonts w:ascii="Cambria" w:hAnsi="Cambria"/>
          <w:color w:val="000000"/>
        </w:rPr>
        <w:t>3</w:t>
      </w:r>
      <w:r>
        <w:rPr>
          <w:rFonts w:ascii="Cambria" w:hAnsi="Cambria"/>
          <w:color w:val="000000"/>
        </w:rPr>
        <w:t xml:space="preserve"> compares transfer and direct entry students</w:t>
      </w:r>
      <w:r w:rsidR="000E7BD3">
        <w:rPr>
          <w:rFonts w:ascii="Cambria" w:hAnsi="Cambria"/>
          <w:color w:val="000000"/>
        </w:rPr>
        <w:t>’</w:t>
      </w:r>
      <w:r>
        <w:rPr>
          <w:rFonts w:ascii="Cambria" w:hAnsi="Cambria"/>
          <w:color w:val="000000"/>
        </w:rPr>
        <w:t xml:space="preserve"> demographics and high school academic records. Columns 2 and 3 show that transfers in aggregate were significantly likelier than direct entry students to be female, Canadian born, speak English at home, self-identify as white, have professional parents, self-identify as a sexual minority and come from non-two parent families. Academically, transfers had less stellar high school track records than their direct entry peers, having lower average grades, higher rates of suspension, worse attendance records, and larger proportions who dropped out of high school at some point.  As one illustration of these academic patterns, Figure 2 shows that the probability of becoming a transfer student steadily falls among those with higher secondary school grades. </w:t>
      </w:r>
    </w:p>
    <w:p w14:paraId="2DDFABB8" w14:textId="2AEE6C93" w:rsidR="00DB44BB" w:rsidRDefault="00DB44BB" w:rsidP="00DB44BB">
      <w:pPr>
        <w:spacing w:after="0"/>
        <w:ind w:left="120"/>
      </w:pPr>
      <w:r>
        <w:rPr>
          <w:rFonts w:ascii="Cambria" w:hAnsi="Cambria"/>
          <w:color w:val="000000"/>
        </w:rPr>
        <w:t>            Multivariate logistic regression models that predict transfer status (</w:t>
      </w:r>
      <w:r w:rsidRPr="00333E1B">
        <w:rPr>
          <w:rFonts w:ascii="Cambria" w:hAnsi="Cambria"/>
          <w:color w:val="000000"/>
        </w:rPr>
        <w:t>not</w:t>
      </w:r>
      <w:r>
        <w:rPr>
          <w:rFonts w:ascii="Cambria" w:hAnsi="Cambria"/>
          <w:b/>
          <w:color w:val="000000"/>
        </w:rPr>
        <w:t xml:space="preserve"> </w:t>
      </w:r>
      <w:r w:rsidRPr="00610BD0">
        <w:rPr>
          <w:rFonts w:ascii="Cambria" w:hAnsi="Cambria"/>
          <w:color w:val="000000"/>
        </w:rPr>
        <w:t>shown</w:t>
      </w:r>
      <w:r>
        <w:rPr>
          <w:rFonts w:ascii="Cambria" w:hAnsi="Cambria"/>
          <w:color w:val="000000"/>
        </w:rPr>
        <w:t>, available upon request)</w:t>
      </w:r>
      <w:r w:rsidR="000E7BD3">
        <w:rPr>
          <w:rFonts w:ascii="Cambria" w:hAnsi="Cambria"/>
          <w:color w:val="000000"/>
        </w:rPr>
        <w:t xml:space="preserve"> showed that lower high school </w:t>
      </w:r>
      <w:r>
        <w:rPr>
          <w:rFonts w:ascii="Cambria" w:hAnsi="Cambria"/>
          <w:color w:val="000000"/>
        </w:rPr>
        <w:t xml:space="preserve">grades </w:t>
      </w:r>
      <w:r w:rsidR="000E7BD3">
        <w:rPr>
          <w:rFonts w:ascii="Cambria" w:hAnsi="Cambria"/>
          <w:color w:val="000000"/>
        </w:rPr>
        <w:t xml:space="preserve">and having been suspended in high school </w:t>
      </w:r>
      <w:r>
        <w:rPr>
          <w:rFonts w:ascii="Cambria" w:hAnsi="Cambria"/>
          <w:color w:val="000000"/>
        </w:rPr>
        <w:t xml:space="preserve">had statistically significant </w:t>
      </w:r>
      <w:r w:rsidR="000E7BD3">
        <w:rPr>
          <w:rFonts w:ascii="Cambria" w:hAnsi="Cambria"/>
          <w:color w:val="000000"/>
        </w:rPr>
        <w:t xml:space="preserve">associations with becoming a transfer student; </w:t>
      </w:r>
      <w:r>
        <w:rPr>
          <w:rFonts w:ascii="Cambria" w:hAnsi="Cambria"/>
          <w:color w:val="000000"/>
        </w:rPr>
        <w:t xml:space="preserve">in addition, females, students from higher income neighborhoods, as well as those who self-identified as White and as sexual minorities were likelier to transfer into UofT. </w:t>
      </w:r>
      <w:r w:rsidR="000E7BD3">
        <w:rPr>
          <w:rFonts w:ascii="Cambria" w:hAnsi="Cambria"/>
          <w:color w:val="000000"/>
        </w:rPr>
        <w:t>The variable with the largest impact in t</w:t>
      </w:r>
      <w:r>
        <w:rPr>
          <w:rFonts w:ascii="Cambria" w:hAnsi="Cambria"/>
          <w:color w:val="000000"/>
        </w:rPr>
        <w:t xml:space="preserve">hese multivariate models </w:t>
      </w:r>
      <w:r w:rsidR="000E7BD3">
        <w:rPr>
          <w:rFonts w:ascii="Cambria" w:hAnsi="Cambria"/>
          <w:color w:val="000000"/>
        </w:rPr>
        <w:t>were high school grades</w:t>
      </w:r>
      <w:r>
        <w:rPr>
          <w:rFonts w:ascii="Cambria" w:hAnsi="Cambria"/>
          <w:color w:val="000000"/>
        </w:rPr>
        <w:t>. However, there were some important differences between categories of transfer students. Most notably, transfers from Ontario community colleges tended to have humbler academic records from high school, having the highest rates of suspension and special needs and lowest grades among all student groups. </w:t>
      </w:r>
    </w:p>
    <w:p w14:paraId="370CE518" w14:textId="47D8872C" w:rsidR="00DB44BB" w:rsidRDefault="00DB44BB" w:rsidP="00DB44BB">
      <w:pPr>
        <w:spacing w:after="0"/>
        <w:ind w:left="120"/>
        <w:rPr>
          <w:rFonts w:ascii="Cambria" w:hAnsi="Cambria"/>
          <w:b/>
          <w:color w:val="000000"/>
        </w:rPr>
      </w:pPr>
      <w:r>
        <w:rPr>
          <w:rFonts w:ascii="Cambria" w:hAnsi="Cambria"/>
          <w:color w:val="000000"/>
        </w:rPr>
        <w:tab/>
        <w:t xml:space="preserve">In sum, transfer students had </w:t>
      </w:r>
      <w:r w:rsidR="00344073">
        <w:rPr>
          <w:rFonts w:ascii="Cambria" w:hAnsi="Cambria"/>
          <w:color w:val="000000"/>
        </w:rPr>
        <w:t xml:space="preserve">less conventional </w:t>
      </w:r>
      <w:r>
        <w:rPr>
          <w:rFonts w:ascii="Cambria" w:hAnsi="Cambria"/>
          <w:color w:val="000000"/>
        </w:rPr>
        <w:t>academic profiles compar</w:t>
      </w:r>
      <w:r w:rsidR="00344073">
        <w:rPr>
          <w:rFonts w:ascii="Cambria" w:hAnsi="Cambria"/>
          <w:color w:val="000000"/>
        </w:rPr>
        <w:t xml:space="preserve">ed </w:t>
      </w:r>
      <w:r>
        <w:rPr>
          <w:rFonts w:ascii="Cambria" w:hAnsi="Cambria"/>
          <w:color w:val="000000"/>
        </w:rPr>
        <w:t xml:space="preserve">to direct entry students, </w:t>
      </w:r>
      <w:r w:rsidR="00344073">
        <w:rPr>
          <w:rFonts w:ascii="Cambria" w:hAnsi="Cambria"/>
          <w:color w:val="000000"/>
        </w:rPr>
        <w:t xml:space="preserve">and </w:t>
      </w:r>
      <w:r>
        <w:rPr>
          <w:rFonts w:ascii="Cambria" w:hAnsi="Cambria"/>
          <w:color w:val="000000"/>
        </w:rPr>
        <w:t>community college transfers ha</w:t>
      </w:r>
      <w:r w:rsidR="00344073">
        <w:rPr>
          <w:rFonts w:ascii="Cambria" w:hAnsi="Cambria"/>
          <w:color w:val="000000"/>
        </w:rPr>
        <w:t xml:space="preserve">d </w:t>
      </w:r>
      <w:r>
        <w:rPr>
          <w:rFonts w:ascii="Cambria" w:hAnsi="Cambria"/>
          <w:color w:val="000000"/>
        </w:rPr>
        <w:t xml:space="preserve">the most challenged </w:t>
      </w:r>
      <w:r w:rsidR="00344073">
        <w:rPr>
          <w:rFonts w:ascii="Cambria" w:hAnsi="Cambria"/>
          <w:color w:val="000000"/>
        </w:rPr>
        <w:t>academic r</w:t>
      </w:r>
      <w:r>
        <w:rPr>
          <w:rFonts w:ascii="Cambria" w:hAnsi="Cambria"/>
          <w:color w:val="000000"/>
        </w:rPr>
        <w:t>ecords.</w:t>
      </w:r>
    </w:p>
    <w:p w14:paraId="68427F46" w14:textId="77777777" w:rsidR="00DB44BB" w:rsidRDefault="00DB44BB" w:rsidP="0066286A">
      <w:pPr>
        <w:spacing w:after="0"/>
        <w:ind w:left="120"/>
        <w:rPr>
          <w:rFonts w:ascii="Cambria" w:hAnsi="Cambria"/>
          <w:b/>
          <w:color w:val="000000"/>
        </w:rPr>
      </w:pPr>
    </w:p>
    <w:p w14:paraId="215E960E" w14:textId="59568BEA" w:rsidR="0066286A" w:rsidRDefault="005C7991" w:rsidP="0066286A">
      <w:pPr>
        <w:spacing w:after="0"/>
        <w:ind w:left="120"/>
        <w:rPr>
          <w:rFonts w:ascii="Cambria" w:hAnsi="Cambria"/>
          <w:b/>
          <w:color w:val="000000"/>
        </w:rPr>
      </w:pPr>
      <w:r>
        <w:rPr>
          <w:rFonts w:ascii="Cambria" w:hAnsi="Cambria"/>
          <w:b/>
          <w:color w:val="000000"/>
        </w:rPr>
        <w:t>Research Question 4:</w:t>
      </w:r>
      <w:r>
        <w:rPr>
          <w:rFonts w:ascii="Cambria" w:hAnsi="Cambria"/>
          <w:color w:val="000000"/>
        </w:rPr>
        <w:t xml:space="preserve"> </w:t>
      </w:r>
      <w:r w:rsidRPr="005C7991">
        <w:rPr>
          <w:rFonts w:ascii="Cambria" w:hAnsi="Cambria"/>
          <w:b/>
          <w:color w:val="000000"/>
        </w:rPr>
        <w:t>How many transfer students were awarded some credits at UofT for previous course work, and how many credits did they receive?</w:t>
      </w:r>
      <w:r>
        <w:rPr>
          <w:rFonts w:ascii="Cambria" w:hAnsi="Cambria"/>
          <w:color w:val="000000"/>
        </w:rPr>
        <w:t xml:space="preserve"> </w:t>
      </w:r>
    </w:p>
    <w:p w14:paraId="63099FDE" w14:textId="268024A7" w:rsidR="00AC0A93" w:rsidRDefault="00DC5C13" w:rsidP="0066286A">
      <w:pPr>
        <w:spacing w:after="0"/>
        <w:ind w:left="120"/>
        <w:rPr>
          <w:rFonts w:ascii="Cambria" w:hAnsi="Cambria"/>
          <w:color w:val="000000"/>
        </w:rPr>
      </w:pPr>
      <w:r>
        <w:rPr>
          <w:rFonts w:ascii="Cambria" w:hAnsi="Cambria"/>
          <w:color w:val="000000"/>
        </w:rPr>
        <w:tab/>
      </w:r>
      <w:r w:rsidR="00344073">
        <w:rPr>
          <w:rFonts w:ascii="Cambria" w:hAnsi="Cambria"/>
          <w:color w:val="000000"/>
        </w:rPr>
        <w:t xml:space="preserve">A key attribute </w:t>
      </w:r>
      <w:r w:rsidR="0066286A">
        <w:rPr>
          <w:rFonts w:ascii="Cambria" w:hAnsi="Cambria"/>
          <w:color w:val="000000"/>
        </w:rPr>
        <w:t>of this new TDSB-UofT dataset is its inclusion of flags denot</w:t>
      </w:r>
      <w:r w:rsidR="00344073">
        <w:rPr>
          <w:rFonts w:ascii="Cambria" w:hAnsi="Cambria"/>
          <w:color w:val="000000"/>
        </w:rPr>
        <w:t xml:space="preserve">ing </w:t>
      </w:r>
      <w:r w:rsidR="0066286A">
        <w:rPr>
          <w:rFonts w:ascii="Cambria" w:hAnsi="Cambria"/>
          <w:color w:val="000000"/>
        </w:rPr>
        <w:t xml:space="preserve">whether or not UofT awarded </w:t>
      </w:r>
      <w:r w:rsidR="00344073">
        <w:rPr>
          <w:rFonts w:ascii="Cambria" w:hAnsi="Cambria"/>
          <w:color w:val="000000"/>
        </w:rPr>
        <w:t xml:space="preserve">each </w:t>
      </w:r>
      <w:r w:rsidR="0066286A">
        <w:rPr>
          <w:rFonts w:ascii="Cambria" w:hAnsi="Cambria"/>
          <w:color w:val="000000"/>
        </w:rPr>
        <w:t xml:space="preserve">student </w:t>
      </w:r>
      <w:r w:rsidR="00344073">
        <w:rPr>
          <w:rFonts w:ascii="Cambria" w:hAnsi="Cambria"/>
          <w:color w:val="000000"/>
        </w:rPr>
        <w:t xml:space="preserve">a </w:t>
      </w:r>
      <w:r w:rsidR="0066286A">
        <w:rPr>
          <w:rFonts w:ascii="Cambria" w:hAnsi="Cambria"/>
          <w:color w:val="000000"/>
        </w:rPr>
        <w:t xml:space="preserve">transfer credit, and if so, </w:t>
      </w:r>
      <w:r w:rsidR="00344073">
        <w:rPr>
          <w:rFonts w:ascii="Cambria" w:hAnsi="Cambria"/>
          <w:color w:val="000000"/>
        </w:rPr>
        <w:t xml:space="preserve">the number of </w:t>
      </w:r>
      <w:r w:rsidR="0066286A">
        <w:rPr>
          <w:rFonts w:ascii="Cambria" w:hAnsi="Cambria"/>
          <w:color w:val="000000"/>
        </w:rPr>
        <w:t xml:space="preserve">credits awarded. </w:t>
      </w:r>
      <w:r w:rsidR="00344073">
        <w:rPr>
          <w:rFonts w:ascii="Cambria" w:hAnsi="Cambria"/>
          <w:color w:val="000000"/>
        </w:rPr>
        <w:t>Before proceeding further, t</w:t>
      </w:r>
      <w:r w:rsidR="0066286A">
        <w:rPr>
          <w:rFonts w:ascii="Cambria" w:hAnsi="Cambria"/>
          <w:color w:val="000000"/>
        </w:rPr>
        <w:t xml:space="preserve">wo things </w:t>
      </w:r>
      <w:r w:rsidR="00344073">
        <w:rPr>
          <w:rFonts w:ascii="Cambria" w:hAnsi="Cambria"/>
          <w:color w:val="000000"/>
        </w:rPr>
        <w:t xml:space="preserve">about </w:t>
      </w:r>
      <w:r w:rsidR="00FC2B70">
        <w:rPr>
          <w:rFonts w:ascii="Cambria" w:hAnsi="Cambria"/>
          <w:color w:val="000000"/>
        </w:rPr>
        <w:t xml:space="preserve">those credits </w:t>
      </w:r>
      <w:r w:rsidR="0066286A">
        <w:rPr>
          <w:rFonts w:ascii="Cambria" w:hAnsi="Cambria"/>
          <w:color w:val="000000"/>
        </w:rPr>
        <w:t xml:space="preserve">should be noted. First, transfer credits are awarded </w:t>
      </w:r>
      <w:r w:rsidR="00FC2B70">
        <w:rPr>
          <w:rFonts w:ascii="Cambria" w:hAnsi="Cambria"/>
          <w:color w:val="000000"/>
        </w:rPr>
        <w:t xml:space="preserve">not </w:t>
      </w:r>
      <w:r w:rsidR="0066286A">
        <w:rPr>
          <w:rFonts w:ascii="Cambria" w:hAnsi="Cambria"/>
          <w:color w:val="000000"/>
        </w:rPr>
        <w:t>only to students from another postsecondary institution</w:t>
      </w:r>
      <w:r w:rsidR="00FC2B70">
        <w:rPr>
          <w:rFonts w:ascii="Cambria" w:hAnsi="Cambria"/>
          <w:color w:val="000000"/>
        </w:rPr>
        <w:t>, but also to h</w:t>
      </w:r>
      <w:r w:rsidR="0066286A">
        <w:rPr>
          <w:rFonts w:ascii="Cambria" w:hAnsi="Cambria"/>
          <w:color w:val="000000"/>
        </w:rPr>
        <w:t>igh school graduates</w:t>
      </w:r>
      <w:r w:rsidR="00FC2B70">
        <w:rPr>
          <w:rFonts w:ascii="Cambria" w:hAnsi="Cambria"/>
          <w:color w:val="000000"/>
        </w:rPr>
        <w:t>, particularly those from</w:t>
      </w:r>
      <w:r w:rsidR="0066286A">
        <w:rPr>
          <w:rFonts w:ascii="Cambria" w:hAnsi="Cambria"/>
          <w:color w:val="000000"/>
        </w:rPr>
        <w:t xml:space="preserve"> International Baccalaureate and Advanced Placement </w:t>
      </w:r>
      <w:r w:rsidR="00FC2B70">
        <w:rPr>
          <w:rFonts w:ascii="Cambria" w:hAnsi="Cambria"/>
          <w:color w:val="000000"/>
        </w:rPr>
        <w:t>pro</w:t>
      </w:r>
      <w:r w:rsidR="0066286A">
        <w:rPr>
          <w:rFonts w:ascii="Cambria" w:hAnsi="Cambria"/>
          <w:color w:val="000000"/>
        </w:rPr>
        <w:t>grams. Second, n</w:t>
      </w:r>
      <w:r w:rsidR="00AC0A93" w:rsidRPr="0066286A">
        <w:rPr>
          <w:rFonts w:ascii="Cambria" w:hAnsi="Cambria"/>
          <w:color w:val="000000"/>
        </w:rPr>
        <w:t>ot</w:t>
      </w:r>
      <w:r w:rsidR="0066286A">
        <w:rPr>
          <w:rFonts w:ascii="Cambria" w:hAnsi="Cambria"/>
          <w:color w:val="000000"/>
        </w:rPr>
        <w:t xml:space="preserve"> </w:t>
      </w:r>
      <w:r w:rsidR="00AC0A93" w:rsidRPr="0066286A">
        <w:rPr>
          <w:rFonts w:ascii="Cambria" w:hAnsi="Cambria"/>
          <w:color w:val="000000"/>
        </w:rPr>
        <w:t xml:space="preserve">all </w:t>
      </w:r>
      <w:r w:rsidR="0066286A">
        <w:rPr>
          <w:rFonts w:ascii="Cambria" w:hAnsi="Cambria"/>
          <w:color w:val="000000"/>
        </w:rPr>
        <w:t>transfer</w:t>
      </w:r>
      <w:r w:rsidR="00FC2B70">
        <w:rPr>
          <w:rFonts w:ascii="Cambria" w:hAnsi="Cambria"/>
          <w:color w:val="000000"/>
        </w:rPr>
        <w:t>s</w:t>
      </w:r>
      <w:r w:rsidR="0066286A">
        <w:rPr>
          <w:rFonts w:ascii="Cambria" w:hAnsi="Cambria"/>
          <w:color w:val="000000"/>
        </w:rPr>
        <w:t xml:space="preserve"> from postsecondary institutions are </w:t>
      </w:r>
      <w:r w:rsidR="008B1DE9" w:rsidRPr="0066286A">
        <w:rPr>
          <w:rFonts w:ascii="Cambria" w:hAnsi="Cambria"/>
          <w:color w:val="000000"/>
        </w:rPr>
        <w:t>awarded credits</w:t>
      </w:r>
      <w:r w:rsidR="00D1630B">
        <w:rPr>
          <w:rFonts w:ascii="Cambria" w:hAnsi="Cambria"/>
          <w:color w:val="000000"/>
        </w:rPr>
        <w:t>; those decisions are usually made by host institutions on a case by case basis.</w:t>
      </w:r>
    </w:p>
    <w:p w14:paraId="0197DE26" w14:textId="2851BF17" w:rsidR="00FC6A61" w:rsidRPr="0066286A" w:rsidRDefault="00DC5C13">
      <w:pPr>
        <w:spacing w:after="0"/>
        <w:ind w:left="120"/>
        <w:rPr>
          <w:rFonts w:ascii="Cambria" w:hAnsi="Cambria"/>
          <w:color w:val="000000"/>
        </w:rPr>
      </w:pPr>
      <w:r>
        <w:rPr>
          <w:rFonts w:ascii="Cambria" w:hAnsi="Cambria"/>
          <w:color w:val="000000"/>
        </w:rPr>
        <w:tab/>
      </w:r>
      <w:r w:rsidR="00D1630B">
        <w:rPr>
          <w:rFonts w:ascii="Cambria" w:hAnsi="Cambria"/>
          <w:color w:val="000000"/>
        </w:rPr>
        <w:t>Among the 18,1</w:t>
      </w:r>
      <w:r>
        <w:rPr>
          <w:rFonts w:ascii="Cambria" w:hAnsi="Cambria"/>
          <w:color w:val="000000"/>
        </w:rPr>
        <w:t>8</w:t>
      </w:r>
      <w:r w:rsidR="00D1630B">
        <w:rPr>
          <w:rFonts w:ascii="Cambria" w:hAnsi="Cambria"/>
          <w:color w:val="000000"/>
        </w:rPr>
        <w:t xml:space="preserve">3 undergraduates in the TDSB-UofT pathway, </w:t>
      </w:r>
      <w:r w:rsidR="008B1DE9" w:rsidRPr="0066286A">
        <w:rPr>
          <w:rFonts w:ascii="Cambria" w:hAnsi="Cambria"/>
          <w:color w:val="000000"/>
        </w:rPr>
        <w:t xml:space="preserve">13% of </w:t>
      </w:r>
      <w:r w:rsidR="00D1630B">
        <w:rPr>
          <w:rFonts w:ascii="Cambria" w:hAnsi="Cambria"/>
          <w:color w:val="000000"/>
        </w:rPr>
        <w:t xml:space="preserve">those whose previous institution was a secondary school were </w:t>
      </w:r>
      <w:r w:rsidR="008B1DE9" w:rsidRPr="0066286A">
        <w:rPr>
          <w:rFonts w:ascii="Cambria" w:hAnsi="Cambria"/>
          <w:color w:val="000000"/>
        </w:rPr>
        <w:t>awarded credits, with mean 0.5 credits</w:t>
      </w:r>
      <w:r w:rsidR="00D1630B">
        <w:rPr>
          <w:rFonts w:ascii="Cambria" w:hAnsi="Cambria"/>
          <w:color w:val="000000"/>
        </w:rPr>
        <w:t xml:space="preserve"> per student. Conversely, </w:t>
      </w:r>
      <w:r w:rsidR="008B1DE9" w:rsidRPr="0066286A">
        <w:rPr>
          <w:rFonts w:ascii="Cambria" w:hAnsi="Cambria"/>
          <w:color w:val="000000"/>
        </w:rPr>
        <w:t xml:space="preserve">84% of </w:t>
      </w:r>
      <w:r w:rsidR="00D1630B">
        <w:rPr>
          <w:rFonts w:ascii="Cambria" w:hAnsi="Cambria"/>
          <w:color w:val="000000"/>
        </w:rPr>
        <w:t xml:space="preserve">students whose previous institution was a college or university were </w:t>
      </w:r>
      <w:r w:rsidR="008B1DE9" w:rsidRPr="0066286A">
        <w:rPr>
          <w:rFonts w:ascii="Cambria" w:hAnsi="Cambria"/>
          <w:color w:val="000000"/>
        </w:rPr>
        <w:t xml:space="preserve">awarded credits, with mean </w:t>
      </w:r>
      <w:r w:rsidR="00D1630B">
        <w:rPr>
          <w:rFonts w:ascii="Cambria" w:hAnsi="Cambria"/>
          <w:color w:val="000000"/>
        </w:rPr>
        <w:t xml:space="preserve">of </w:t>
      </w:r>
      <w:r w:rsidR="008B1DE9" w:rsidRPr="0066286A">
        <w:rPr>
          <w:rFonts w:ascii="Cambria" w:hAnsi="Cambria"/>
          <w:color w:val="000000"/>
        </w:rPr>
        <w:t>4.1 credits</w:t>
      </w:r>
      <w:r w:rsidR="00D1630B">
        <w:rPr>
          <w:rFonts w:ascii="Cambria" w:hAnsi="Cambria"/>
          <w:color w:val="000000"/>
        </w:rPr>
        <w:t xml:space="preserve"> per student.  </w:t>
      </w:r>
      <w:r w:rsidR="00FC2B70">
        <w:rPr>
          <w:rFonts w:ascii="Cambria" w:hAnsi="Cambria"/>
          <w:color w:val="000000"/>
        </w:rPr>
        <w:t>Table 2 shows that t</w:t>
      </w:r>
      <w:r w:rsidR="00D1630B">
        <w:rPr>
          <w:rFonts w:ascii="Cambria" w:hAnsi="Cambria"/>
          <w:color w:val="000000"/>
        </w:rPr>
        <w:t xml:space="preserve">he vast majority of transfers from Canadian universities received credits, and </w:t>
      </w:r>
      <w:r w:rsidR="00FC2B70">
        <w:rPr>
          <w:rFonts w:ascii="Cambria" w:hAnsi="Cambria"/>
          <w:color w:val="000000"/>
        </w:rPr>
        <w:t xml:space="preserve">that </w:t>
      </w:r>
      <w:r w:rsidR="00D1630B">
        <w:rPr>
          <w:rFonts w:ascii="Cambria" w:hAnsi="Cambria"/>
          <w:color w:val="000000"/>
        </w:rPr>
        <w:t xml:space="preserve">they were awarded the most credits. About 92% of transfers from </w:t>
      </w:r>
      <w:r w:rsidR="008B1DE9" w:rsidRPr="0066286A">
        <w:rPr>
          <w:rFonts w:ascii="Cambria" w:hAnsi="Cambria"/>
          <w:color w:val="000000"/>
        </w:rPr>
        <w:t>Ontario universit</w:t>
      </w:r>
      <w:r w:rsidR="00D1630B">
        <w:rPr>
          <w:rFonts w:ascii="Cambria" w:hAnsi="Cambria"/>
          <w:color w:val="000000"/>
        </w:rPr>
        <w:t xml:space="preserve">ies received credits for a </w:t>
      </w:r>
      <w:r w:rsidR="008B1DE9" w:rsidRPr="0066286A">
        <w:rPr>
          <w:rFonts w:ascii="Cambria" w:hAnsi="Cambria"/>
          <w:color w:val="000000"/>
        </w:rPr>
        <w:t xml:space="preserve">mean </w:t>
      </w:r>
      <w:r w:rsidR="00D1630B">
        <w:rPr>
          <w:rFonts w:ascii="Cambria" w:hAnsi="Cambria"/>
          <w:color w:val="000000"/>
        </w:rPr>
        <w:t xml:space="preserve">of </w:t>
      </w:r>
      <w:r w:rsidR="008B1DE9" w:rsidRPr="0066286A">
        <w:rPr>
          <w:rFonts w:ascii="Cambria" w:hAnsi="Cambria"/>
          <w:color w:val="000000"/>
        </w:rPr>
        <w:t>4.7</w:t>
      </w:r>
      <w:r w:rsidR="00D1630B">
        <w:rPr>
          <w:rFonts w:ascii="Cambria" w:hAnsi="Cambria"/>
          <w:color w:val="000000"/>
        </w:rPr>
        <w:t xml:space="preserve"> per student; the corresponding figures for transfers from other </w:t>
      </w:r>
      <w:r w:rsidR="00D1630B" w:rsidRPr="00D1630B">
        <w:rPr>
          <w:rFonts w:ascii="Cambria" w:hAnsi="Cambria"/>
          <w:color w:val="000000"/>
        </w:rPr>
        <w:t>Canadian universi</w:t>
      </w:r>
      <w:r w:rsidR="00FC2B70">
        <w:rPr>
          <w:rFonts w:ascii="Cambria" w:hAnsi="Cambria"/>
          <w:color w:val="000000"/>
        </w:rPr>
        <w:t xml:space="preserve">ties were </w:t>
      </w:r>
      <w:r w:rsidR="00D1630B" w:rsidRPr="00D1630B">
        <w:rPr>
          <w:rFonts w:ascii="Cambria" w:hAnsi="Cambria"/>
          <w:color w:val="000000"/>
        </w:rPr>
        <w:t>95%</w:t>
      </w:r>
      <w:r w:rsidR="00404626">
        <w:rPr>
          <w:rFonts w:ascii="Cambria" w:hAnsi="Cambria"/>
          <w:color w:val="000000"/>
        </w:rPr>
        <w:t xml:space="preserve"> and </w:t>
      </w:r>
      <w:r w:rsidR="00D1630B" w:rsidRPr="00D1630B">
        <w:rPr>
          <w:rFonts w:ascii="Cambria" w:hAnsi="Cambria"/>
          <w:color w:val="000000"/>
        </w:rPr>
        <w:t>5.8</w:t>
      </w:r>
      <w:r w:rsidR="00FC2B70">
        <w:rPr>
          <w:rFonts w:ascii="Cambria" w:hAnsi="Cambria"/>
          <w:color w:val="000000"/>
        </w:rPr>
        <w:t>%</w:t>
      </w:r>
      <w:r w:rsidR="00404626">
        <w:rPr>
          <w:rFonts w:ascii="Cambria" w:hAnsi="Cambria"/>
          <w:color w:val="000000"/>
        </w:rPr>
        <w:t>. Transfers from international universities</w:t>
      </w:r>
      <w:r w:rsidR="00FC2B70">
        <w:rPr>
          <w:rFonts w:ascii="Cambria" w:hAnsi="Cambria"/>
          <w:color w:val="000000"/>
        </w:rPr>
        <w:t xml:space="preserve"> and O</w:t>
      </w:r>
      <w:r w:rsidR="00FC2B70" w:rsidRPr="0066286A">
        <w:rPr>
          <w:rFonts w:ascii="Cambria" w:hAnsi="Cambria"/>
          <w:color w:val="000000"/>
        </w:rPr>
        <w:t xml:space="preserve">ntario </w:t>
      </w:r>
      <w:r w:rsidR="00FC2B70">
        <w:rPr>
          <w:rFonts w:ascii="Cambria" w:hAnsi="Cambria"/>
          <w:color w:val="000000"/>
        </w:rPr>
        <w:t xml:space="preserve">community </w:t>
      </w:r>
      <w:r w:rsidR="00FC2B70" w:rsidRPr="0066286A">
        <w:rPr>
          <w:rFonts w:ascii="Cambria" w:hAnsi="Cambria"/>
          <w:color w:val="000000"/>
        </w:rPr>
        <w:t>college</w:t>
      </w:r>
      <w:r w:rsidR="00FC2B70">
        <w:rPr>
          <w:rFonts w:ascii="Cambria" w:hAnsi="Cambria"/>
          <w:color w:val="000000"/>
        </w:rPr>
        <w:t>s</w:t>
      </w:r>
      <w:r w:rsidR="00404626">
        <w:rPr>
          <w:rFonts w:ascii="Cambria" w:hAnsi="Cambria"/>
          <w:color w:val="000000"/>
        </w:rPr>
        <w:t xml:space="preserve"> had lower figures (</w:t>
      </w:r>
      <w:r w:rsidR="00404626" w:rsidRPr="0066286A">
        <w:rPr>
          <w:rFonts w:ascii="Cambria" w:hAnsi="Cambria"/>
          <w:color w:val="000000"/>
        </w:rPr>
        <w:t>78%</w:t>
      </w:r>
      <w:r w:rsidR="00404626">
        <w:rPr>
          <w:rFonts w:ascii="Cambria" w:hAnsi="Cambria"/>
          <w:color w:val="000000"/>
        </w:rPr>
        <w:t xml:space="preserve"> and </w:t>
      </w:r>
      <w:r w:rsidR="00404626" w:rsidRPr="0066286A">
        <w:rPr>
          <w:rFonts w:ascii="Cambria" w:hAnsi="Cambria"/>
          <w:color w:val="000000"/>
        </w:rPr>
        <w:t>3.9</w:t>
      </w:r>
      <w:r w:rsidR="00FC2B70">
        <w:rPr>
          <w:rFonts w:ascii="Cambria" w:hAnsi="Cambria"/>
          <w:color w:val="000000"/>
        </w:rPr>
        <w:t xml:space="preserve">, and </w:t>
      </w:r>
      <w:r w:rsidR="008B1DE9" w:rsidRPr="0066286A">
        <w:rPr>
          <w:rFonts w:ascii="Cambria" w:hAnsi="Cambria"/>
          <w:color w:val="000000"/>
        </w:rPr>
        <w:t>76%</w:t>
      </w:r>
      <w:r w:rsidR="00404626">
        <w:rPr>
          <w:rFonts w:ascii="Cambria" w:hAnsi="Cambria"/>
          <w:color w:val="000000"/>
        </w:rPr>
        <w:t xml:space="preserve"> and </w:t>
      </w:r>
      <w:r w:rsidR="008B1DE9" w:rsidRPr="0066286A">
        <w:rPr>
          <w:rFonts w:ascii="Cambria" w:hAnsi="Cambria"/>
          <w:color w:val="000000"/>
        </w:rPr>
        <w:t>2.6</w:t>
      </w:r>
      <w:r w:rsidR="00FC2B70">
        <w:rPr>
          <w:rFonts w:ascii="Cambria" w:hAnsi="Cambria"/>
          <w:color w:val="000000"/>
        </w:rPr>
        <w:t>%, respectively</w:t>
      </w:r>
      <w:r w:rsidR="00404626">
        <w:rPr>
          <w:rFonts w:ascii="Cambria" w:hAnsi="Cambria"/>
          <w:color w:val="000000"/>
        </w:rPr>
        <w:t>). It should be noted that none of the 8 transfers from private career colleges were awarded any transfer credits.</w:t>
      </w:r>
      <w:r w:rsidR="008B1DE9" w:rsidRPr="0066286A">
        <w:rPr>
          <w:rFonts w:ascii="Cambria" w:hAnsi="Cambria"/>
          <w:color w:val="000000"/>
        </w:rPr>
        <w:t xml:space="preserve"> </w:t>
      </w:r>
      <w:r>
        <w:rPr>
          <w:rFonts w:ascii="Cambria" w:hAnsi="Cambria"/>
          <w:color w:val="000000"/>
        </w:rPr>
        <w:t xml:space="preserve"> Almost all students from </w:t>
      </w:r>
      <w:r w:rsidR="00FC6A61" w:rsidRPr="0066286A">
        <w:rPr>
          <w:rFonts w:ascii="Cambria" w:hAnsi="Cambria"/>
          <w:color w:val="000000"/>
        </w:rPr>
        <w:t xml:space="preserve">Ontario </w:t>
      </w:r>
      <w:r>
        <w:rPr>
          <w:rFonts w:ascii="Cambria" w:hAnsi="Cambria"/>
          <w:color w:val="000000"/>
        </w:rPr>
        <w:lastRenderedPageBreak/>
        <w:t xml:space="preserve">or </w:t>
      </w:r>
      <w:r w:rsidR="00FC6A61" w:rsidRPr="0066286A">
        <w:rPr>
          <w:rFonts w:ascii="Cambria" w:hAnsi="Cambria"/>
          <w:color w:val="000000"/>
        </w:rPr>
        <w:t xml:space="preserve">other Canadian </w:t>
      </w:r>
      <w:r w:rsidR="00FC2B70">
        <w:rPr>
          <w:rFonts w:ascii="Cambria" w:hAnsi="Cambria"/>
          <w:color w:val="000000"/>
        </w:rPr>
        <w:t xml:space="preserve">universities </w:t>
      </w:r>
      <w:r>
        <w:rPr>
          <w:rFonts w:ascii="Cambria" w:hAnsi="Cambria"/>
          <w:color w:val="000000"/>
        </w:rPr>
        <w:t xml:space="preserve">were awarded transfer credits. </w:t>
      </w:r>
      <w:r w:rsidR="00FC2B70">
        <w:rPr>
          <w:rFonts w:ascii="Cambria" w:hAnsi="Cambria"/>
          <w:color w:val="000000"/>
        </w:rPr>
        <w:t xml:space="preserve">But there was more variation among students from transferring from </w:t>
      </w:r>
      <w:r w:rsidR="00FC2B70" w:rsidRPr="0066286A">
        <w:rPr>
          <w:rFonts w:ascii="Cambria" w:hAnsi="Cambria"/>
          <w:color w:val="000000"/>
        </w:rPr>
        <w:t>Ontario Community Colleges</w:t>
      </w:r>
      <w:r w:rsidR="00FC2B70">
        <w:rPr>
          <w:rFonts w:ascii="Cambria" w:hAnsi="Cambria"/>
          <w:color w:val="000000"/>
        </w:rPr>
        <w:t xml:space="preserve">: </w:t>
      </w:r>
      <w:r w:rsidR="00FC6A61" w:rsidRPr="0066286A">
        <w:rPr>
          <w:rFonts w:ascii="Cambria" w:hAnsi="Cambria"/>
          <w:color w:val="000000"/>
        </w:rPr>
        <w:t xml:space="preserve">most </w:t>
      </w:r>
      <w:r w:rsidR="00FC2B70">
        <w:rPr>
          <w:rFonts w:ascii="Cambria" w:hAnsi="Cambria"/>
          <w:color w:val="000000"/>
        </w:rPr>
        <w:t xml:space="preserve">of those </w:t>
      </w:r>
      <w:r>
        <w:rPr>
          <w:rFonts w:ascii="Cambria" w:hAnsi="Cambria"/>
          <w:color w:val="000000"/>
        </w:rPr>
        <w:t xml:space="preserve">institutions had </w:t>
      </w:r>
      <w:r w:rsidR="00FC6A61" w:rsidRPr="0066286A">
        <w:rPr>
          <w:rFonts w:ascii="Cambria" w:hAnsi="Cambria"/>
          <w:color w:val="000000"/>
        </w:rPr>
        <w:t xml:space="preserve">67% </w:t>
      </w:r>
      <w:r>
        <w:rPr>
          <w:rFonts w:ascii="Cambria" w:hAnsi="Cambria"/>
          <w:color w:val="000000"/>
        </w:rPr>
        <w:t xml:space="preserve">to </w:t>
      </w:r>
      <w:r w:rsidR="00FC6A61" w:rsidRPr="0066286A">
        <w:rPr>
          <w:rFonts w:ascii="Cambria" w:hAnsi="Cambria"/>
          <w:color w:val="000000"/>
        </w:rPr>
        <w:t xml:space="preserve">87% </w:t>
      </w:r>
      <w:r>
        <w:rPr>
          <w:rFonts w:ascii="Cambria" w:hAnsi="Cambria"/>
          <w:color w:val="000000"/>
        </w:rPr>
        <w:t xml:space="preserve">of their former students </w:t>
      </w:r>
      <w:r w:rsidR="00FC2B70">
        <w:rPr>
          <w:rFonts w:ascii="Cambria" w:hAnsi="Cambria"/>
          <w:color w:val="000000"/>
        </w:rPr>
        <w:t>receiving c</w:t>
      </w:r>
      <w:r w:rsidR="00FC6A61" w:rsidRPr="0066286A">
        <w:rPr>
          <w:rFonts w:ascii="Cambria" w:hAnsi="Cambria"/>
          <w:color w:val="000000"/>
        </w:rPr>
        <w:t xml:space="preserve">redits, </w:t>
      </w:r>
      <w:r w:rsidR="00FC2B70">
        <w:rPr>
          <w:rFonts w:ascii="Cambria" w:hAnsi="Cambria"/>
          <w:color w:val="000000"/>
        </w:rPr>
        <w:t xml:space="preserve">and </w:t>
      </w:r>
      <w:r>
        <w:rPr>
          <w:rFonts w:ascii="Cambria" w:hAnsi="Cambria"/>
          <w:color w:val="000000"/>
        </w:rPr>
        <w:t xml:space="preserve">they received </w:t>
      </w:r>
      <w:r w:rsidR="00FC6A61" w:rsidRPr="0066286A">
        <w:rPr>
          <w:rFonts w:ascii="Cambria" w:hAnsi="Cambria"/>
          <w:color w:val="000000"/>
        </w:rPr>
        <w:t xml:space="preserve">fewer credits </w:t>
      </w:r>
      <w:r>
        <w:rPr>
          <w:rFonts w:ascii="Cambria" w:hAnsi="Cambria"/>
          <w:color w:val="000000"/>
        </w:rPr>
        <w:t xml:space="preserve">on average than did </w:t>
      </w:r>
      <w:r w:rsidR="00FC2B70">
        <w:rPr>
          <w:rFonts w:ascii="Cambria" w:hAnsi="Cambria"/>
          <w:color w:val="000000"/>
        </w:rPr>
        <w:t xml:space="preserve">transfers </w:t>
      </w:r>
      <w:r>
        <w:rPr>
          <w:rFonts w:ascii="Cambria" w:hAnsi="Cambria"/>
          <w:color w:val="000000"/>
        </w:rPr>
        <w:t>from</w:t>
      </w:r>
      <w:r w:rsidR="00FC6A61" w:rsidRPr="0066286A">
        <w:rPr>
          <w:rFonts w:ascii="Cambria" w:hAnsi="Cambria"/>
          <w:color w:val="000000"/>
        </w:rPr>
        <w:t xml:space="preserve"> universities</w:t>
      </w:r>
      <w:r>
        <w:rPr>
          <w:rFonts w:ascii="Cambria" w:hAnsi="Cambria"/>
          <w:color w:val="000000"/>
        </w:rPr>
        <w:t>.</w:t>
      </w:r>
      <w:r w:rsidR="00FC6A61" w:rsidRPr="0066286A">
        <w:rPr>
          <w:rFonts w:ascii="Cambria" w:hAnsi="Cambria"/>
          <w:color w:val="000000"/>
        </w:rPr>
        <w:t xml:space="preserve"> </w:t>
      </w:r>
    </w:p>
    <w:p w14:paraId="0D97A577" w14:textId="0DB387DF" w:rsidR="0002056F" w:rsidRDefault="0002056F">
      <w:pPr>
        <w:spacing w:after="0"/>
        <w:ind w:left="120"/>
        <w:rPr>
          <w:rFonts w:ascii="Cambria" w:hAnsi="Cambria"/>
          <w:b/>
          <w:color w:val="000000"/>
        </w:rPr>
      </w:pPr>
    </w:p>
    <w:p w14:paraId="5B2A9E48" w14:textId="19490EAE" w:rsidR="00F14699" w:rsidRPr="00DB44BB" w:rsidRDefault="00DB44BB">
      <w:pPr>
        <w:spacing w:after="0"/>
        <w:ind w:left="120"/>
        <w:rPr>
          <w:b/>
        </w:rPr>
      </w:pPr>
      <w:r>
        <w:rPr>
          <w:rFonts w:ascii="Cambria" w:hAnsi="Cambria"/>
          <w:b/>
          <w:color w:val="000000"/>
        </w:rPr>
        <w:t xml:space="preserve">Research Question </w:t>
      </w:r>
      <w:r w:rsidRPr="00DB44BB">
        <w:rPr>
          <w:rFonts w:ascii="Cambria" w:hAnsi="Cambria"/>
          <w:b/>
          <w:color w:val="000000"/>
        </w:rPr>
        <w:t>5</w:t>
      </w:r>
      <w:r>
        <w:rPr>
          <w:rFonts w:ascii="Cambria" w:hAnsi="Cambria"/>
          <w:b/>
          <w:color w:val="000000"/>
        </w:rPr>
        <w:t>:</w:t>
      </w:r>
      <w:r w:rsidRPr="00DB44BB">
        <w:rPr>
          <w:rFonts w:ascii="Cambria" w:hAnsi="Cambria"/>
          <w:b/>
          <w:color w:val="000000"/>
        </w:rPr>
        <w:t xml:space="preserve"> Do transfer and direct entry students </w:t>
      </w:r>
      <w:r>
        <w:rPr>
          <w:rFonts w:ascii="Cambria" w:hAnsi="Cambria"/>
          <w:b/>
          <w:color w:val="000000"/>
        </w:rPr>
        <w:t xml:space="preserve">have </w:t>
      </w:r>
      <w:r w:rsidRPr="00DB44BB">
        <w:rPr>
          <w:rFonts w:ascii="Cambria" w:hAnsi="Cambria"/>
          <w:b/>
          <w:color w:val="000000"/>
        </w:rPr>
        <w:t>differ</w:t>
      </w:r>
      <w:r>
        <w:rPr>
          <w:rFonts w:ascii="Cambria" w:hAnsi="Cambria"/>
          <w:b/>
          <w:color w:val="000000"/>
        </w:rPr>
        <w:t xml:space="preserve">ent </w:t>
      </w:r>
      <w:r w:rsidRPr="00DB44BB">
        <w:rPr>
          <w:rFonts w:ascii="Cambria" w:hAnsi="Cambria"/>
          <w:b/>
          <w:color w:val="000000"/>
        </w:rPr>
        <w:t>academic outcomes?</w:t>
      </w:r>
    </w:p>
    <w:p w14:paraId="5DEB23B1" w14:textId="77777777" w:rsidR="00FC2B70" w:rsidRDefault="00E83112">
      <w:pPr>
        <w:spacing w:after="0"/>
        <w:ind w:left="120"/>
        <w:rPr>
          <w:rFonts w:ascii="Cambria" w:hAnsi="Cambria"/>
          <w:color w:val="000000"/>
        </w:rPr>
      </w:pPr>
      <w:r>
        <w:rPr>
          <w:rFonts w:ascii="Cambria" w:hAnsi="Cambria"/>
          <w:color w:val="000000"/>
        </w:rPr>
        <w:tab/>
      </w:r>
      <w:r w:rsidR="00FC2B70">
        <w:rPr>
          <w:rFonts w:ascii="Cambria" w:hAnsi="Cambria"/>
          <w:color w:val="000000"/>
        </w:rPr>
        <w:t xml:space="preserve">To answer this question, I examined </w:t>
      </w:r>
      <w:r w:rsidR="00287024">
        <w:rPr>
          <w:rFonts w:ascii="Cambria" w:hAnsi="Cambria"/>
          <w:color w:val="000000"/>
        </w:rPr>
        <w:t xml:space="preserve">five </w:t>
      </w:r>
      <w:r w:rsidR="009238FB">
        <w:rPr>
          <w:rFonts w:ascii="Cambria" w:hAnsi="Cambria"/>
          <w:color w:val="000000"/>
        </w:rPr>
        <w:t>academic outcomes at the University of Toronto: cumulative grade point average, credits accumulated</w:t>
      </w:r>
      <w:r w:rsidR="00287024">
        <w:rPr>
          <w:rFonts w:ascii="Cambria" w:hAnsi="Cambria"/>
          <w:color w:val="000000"/>
        </w:rPr>
        <w:t xml:space="preserve"> at UofT</w:t>
      </w:r>
      <w:r w:rsidR="009238FB">
        <w:rPr>
          <w:rFonts w:ascii="Cambria" w:hAnsi="Cambria"/>
          <w:color w:val="000000"/>
        </w:rPr>
        <w:t>,</w:t>
      </w:r>
      <w:r w:rsidR="00287024">
        <w:rPr>
          <w:rFonts w:ascii="Cambria" w:hAnsi="Cambria"/>
          <w:color w:val="000000"/>
        </w:rPr>
        <w:t xml:space="preserve"> total credits accumulated,</w:t>
      </w:r>
      <w:r w:rsidR="009238FB">
        <w:rPr>
          <w:rFonts w:ascii="Cambria" w:hAnsi="Cambria"/>
          <w:color w:val="000000"/>
        </w:rPr>
        <w:t xml:space="preserve"> whether </w:t>
      </w:r>
      <w:r w:rsidR="00E57858">
        <w:rPr>
          <w:rFonts w:ascii="Cambria" w:hAnsi="Cambria"/>
          <w:color w:val="000000"/>
        </w:rPr>
        <w:t xml:space="preserve">students </w:t>
      </w:r>
      <w:r w:rsidR="009238FB">
        <w:rPr>
          <w:rFonts w:ascii="Cambria" w:hAnsi="Cambria"/>
          <w:color w:val="000000"/>
        </w:rPr>
        <w:t xml:space="preserve">entered a STEM field of study, and whether or not they graduated by the </w:t>
      </w:r>
      <w:r w:rsidR="00BE5A64">
        <w:rPr>
          <w:rFonts w:ascii="Cambria" w:hAnsi="Cambria"/>
          <w:color w:val="000000"/>
        </w:rPr>
        <w:t>spring</w:t>
      </w:r>
      <w:r w:rsidR="009238FB">
        <w:rPr>
          <w:rFonts w:ascii="Cambria" w:hAnsi="Cambria"/>
          <w:color w:val="000000"/>
        </w:rPr>
        <w:t xml:space="preserve"> of 20</w:t>
      </w:r>
      <w:r w:rsidR="00BE5A64">
        <w:rPr>
          <w:rFonts w:ascii="Cambria" w:hAnsi="Cambria"/>
          <w:color w:val="000000"/>
        </w:rPr>
        <w:t>21</w:t>
      </w:r>
      <w:r w:rsidR="009238FB">
        <w:rPr>
          <w:rFonts w:ascii="Cambria" w:hAnsi="Cambria"/>
          <w:color w:val="000000"/>
        </w:rPr>
        <w:t>.</w:t>
      </w:r>
      <w:r w:rsidR="00FC2B70">
        <w:rPr>
          <w:rFonts w:ascii="Cambria" w:hAnsi="Cambria"/>
          <w:color w:val="000000"/>
        </w:rPr>
        <w:t xml:space="preserve"> The ensuing analysis places particular emphasis on graduation, since it is considered to be a core indicator of student success among policy makers.</w:t>
      </w:r>
      <w:r w:rsidR="009238FB">
        <w:rPr>
          <w:rFonts w:ascii="Cambria" w:hAnsi="Cambria"/>
          <w:color w:val="000000"/>
        </w:rPr>
        <w:t xml:space="preserve"> </w:t>
      </w:r>
    </w:p>
    <w:p w14:paraId="44632E42" w14:textId="77777777" w:rsidR="00FC2B70" w:rsidRDefault="00FC2B70">
      <w:pPr>
        <w:spacing w:after="0"/>
        <w:ind w:left="120"/>
        <w:rPr>
          <w:rFonts w:ascii="Cambria" w:hAnsi="Cambria"/>
          <w:color w:val="000000"/>
        </w:rPr>
      </w:pPr>
    </w:p>
    <w:p w14:paraId="1CDB9B76" w14:textId="26BE08A5" w:rsidR="00287024" w:rsidRDefault="00FC2B70" w:rsidP="00FC2B70">
      <w:pPr>
        <w:spacing w:after="0"/>
        <w:ind w:left="120"/>
        <w:rPr>
          <w:rFonts w:ascii="Cambria" w:hAnsi="Cambria"/>
          <w:color w:val="000000"/>
        </w:rPr>
      </w:pPr>
      <w:r>
        <w:rPr>
          <w:rFonts w:ascii="Cambria" w:hAnsi="Cambria"/>
          <w:color w:val="000000"/>
        </w:rPr>
        <w:tab/>
      </w:r>
      <w:r w:rsidR="00361040">
        <w:rPr>
          <w:rFonts w:ascii="Cambria" w:hAnsi="Cambria"/>
          <w:color w:val="000000"/>
        </w:rPr>
        <w:t xml:space="preserve">Table </w:t>
      </w:r>
      <w:r>
        <w:rPr>
          <w:rFonts w:ascii="Cambria" w:hAnsi="Cambria"/>
          <w:color w:val="000000"/>
        </w:rPr>
        <w:t>4</w:t>
      </w:r>
      <w:r w:rsidR="00361040">
        <w:rPr>
          <w:rFonts w:ascii="Cambria" w:hAnsi="Cambria"/>
          <w:color w:val="000000"/>
        </w:rPr>
        <w:t xml:space="preserve"> displays bivariate statistics for </w:t>
      </w:r>
      <w:r w:rsidR="00287024">
        <w:rPr>
          <w:rFonts w:ascii="Cambria" w:hAnsi="Cambria"/>
          <w:color w:val="000000"/>
        </w:rPr>
        <w:t xml:space="preserve">these </w:t>
      </w:r>
      <w:r w:rsidR="00361040">
        <w:rPr>
          <w:rFonts w:ascii="Cambria" w:hAnsi="Cambria"/>
          <w:color w:val="000000"/>
        </w:rPr>
        <w:t>outcomes by transfer status.</w:t>
      </w:r>
      <w:r w:rsidR="009238FB">
        <w:rPr>
          <w:rFonts w:ascii="Cambria" w:hAnsi="Cambria"/>
          <w:color w:val="000000"/>
        </w:rPr>
        <w:t> </w:t>
      </w:r>
      <w:r>
        <w:rPr>
          <w:rFonts w:ascii="Cambria" w:hAnsi="Cambria"/>
          <w:color w:val="000000"/>
        </w:rPr>
        <w:t xml:space="preserve">It shows that </w:t>
      </w:r>
      <w:r w:rsidR="00287024">
        <w:rPr>
          <w:rFonts w:ascii="Cambria" w:hAnsi="Cambria"/>
          <w:color w:val="000000"/>
        </w:rPr>
        <w:t xml:space="preserve">for two of the five </w:t>
      </w:r>
      <w:r w:rsidR="00E83112">
        <w:rPr>
          <w:rFonts w:ascii="Cambria" w:hAnsi="Cambria"/>
          <w:color w:val="000000"/>
        </w:rPr>
        <w:t>outcomes, transfer students</w:t>
      </w:r>
      <w:r w:rsidR="00287024">
        <w:rPr>
          <w:rFonts w:ascii="Cambria" w:hAnsi="Cambria"/>
          <w:color w:val="000000"/>
        </w:rPr>
        <w:t xml:space="preserve"> </w:t>
      </w:r>
      <w:r>
        <w:rPr>
          <w:rFonts w:ascii="Cambria" w:hAnsi="Cambria"/>
          <w:color w:val="000000"/>
        </w:rPr>
        <w:t xml:space="preserve">in </w:t>
      </w:r>
      <w:r w:rsidR="00287024">
        <w:rPr>
          <w:rFonts w:ascii="Cambria" w:hAnsi="Cambria"/>
          <w:color w:val="000000"/>
        </w:rPr>
        <w:t>aggregate</w:t>
      </w:r>
      <w:r w:rsidR="00E83112">
        <w:rPr>
          <w:rFonts w:ascii="Cambria" w:hAnsi="Cambria"/>
          <w:color w:val="000000"/>
        </w:rPr>
        <w:t xml:space="preserve"> fared similar</w:t>
      </w:r>
      <w:r w:rsidR="005E1DF7">
        <w:rPr>
          <w:rFonts w:ascii="Cambria" w:hAnsi="Cambria"/>
          <w:color w:val="000000"/>
        </w:rPr>
        <w:t>ly</w:t>
      </w:r>
      <w:r w:rsidR="00E83112">
        <w:rPr>
          <w:rFonts w:ascii="Cambria" w:hAnsi="Cambria"/>
          <w:color w:val="000000"/>
        </w:rPr>
        <w:t xml:space="preserve"> or better </w:t>
      </w:r>
      <w:r w:rsidR="005E1DF7">
        <w:rPr>
          <w:rFonts w:ascii="Cambria" w:hAnsi="Cambria"/>
          <w:color w:val="000000"/>
        </w:rPr>
        <w:t xml:space="preserve">than </w:t>
      </w:r>
      <w:r w:rsidR="00287024">
        <w:rPr>
          <w:rFonts w:ascii="Cambria" w:hAnsi="Cambria"/>
          <w:color w:val="000000"/>
        </w:rPr>
        <w:t xml:space="preserve">did </w:t>
      </w:r>
      <w:r w:rsidR="00E83112">
        <w:rPr>
          <w:rFonts w:ascii="Cambria" w:hAnsi="Cambria"/>
          <w:color w:val="000000"/>
        </w:rPr>
        <w:t xml:space="preserve">direct entry students. </w:t>
      </w:r>
      <w:r w:rsidR="00287024">
        <w:rPr>
          <w:rFonts w:ascii="Cambria" w:hAnsi="Cambria"/>
          <w:color w:val="000000"/>
        </w:rPr>
        <w:t>T</w:t>
      </w:r>
      <w:r w:rsidR="00E83112">
        <w:rPr>
          <w:rFonts w:ascii="Cambria" w:hAnsi="Cambria"/>
          <w:color w:val="000000"/>
        </w:rPr>
        <w:t xml:space="preserve">ransfers had higher </w:t>
      </w:r>
      <w:r w:rsidR="00BE5A64">
        <w:rPr>
          <w:rFonts w:ascii="Cambria" w:hAnsi="Cambria"/>
          <w:color w:val="000000"/>
        </w:rPr>
        <w:t xml:space="preserve">(though not statistically significant) </w:t>
      </w:r>
      <w:r w:rsidR="00E83112">
        <w:rPr>
          <w:rFonts w:ascii="Cambria" w:hAnsi="Cambria"/>
          <w:color w:val="000000"/>
        </w:rPr>
        <w:t xml:space="preserve">final </w:t>
      </w:r>
      <w:r w:rsidR="00287024">
        <w:rPr>
          <w:rFonts w:ascii="Cambria" w:hAnsi="Cambria"/>
          <w:color w:val="000000"/>
        </w:rPr>
        <w:t xml:space="preserve">cumulative </w:t>
      </w:r>
      <w:r w:rsidR="00E83112">
        <w:rPr>
          <w:rFonts w:ascii="Cambria" w:hAnsi="Cambria"/>
          <w:color w:val="000000"/>
        </w:rPr>
        <w:t>grade point averages (</w:t>
      </w:r>
      <w:r w:rsidR="00287024">
        <w:rPr>
          <w:rFonts w:ascii="Cambria" w:hAnsi="Cambria"/>
          <w:color w:val="000000"/>
        </w:rPr>
        <w:t>C</w:t>
      </w:r>
      <w:r w:rsidR="00E83112">
        <w:rPr>
          <w:rFonts w:ascii="Cambria" w:hAnsi="Cambria"/>
          <w:color w:val="000000"/>
        </w:rPr>
        <w:t>GPAs</w:t>
      </w:r>
      <w:r w:rsidR="00E57858">
        <w:rPr>
          <w:rFonts w:ascii="Cambria" w:hAnsi="Cambria"/>
          <w:color w:val="000000"/>
        </w:rPr>
        <w:t xml:space="preserve">; </w:t>
      </w:r>
      <w:r w:rsidR="00BE5A64">
        <w:rPr>
          <w:rFonts w:ascii="Cambria" w:hAnsi="Cambria"/>
          <w:color w:val="000000"/>
        </w:rPr>
        <w:t>compare</w:t>
      </w:r>
      <w:r w:rsidR="00E83112">
        <w:rPr>
          <w:rFonts w:ascii="Cambria" w:hAnsi="Cambria"/>
          <w:color w:val="000000"/>
        </w:rPr>
        <w:t xml:space="preserve"> columns 2 and 3</w:t>
      </w:r>
      <w:r w:rsidR="00287024">
        <w:rPr>
          <w:rFonts w:ascii="Cambria" w:hAnsi="Cambria"/>
          <w:color w:val="000000"/>
        </w:rPr>
        <w:t xml:space="preserve"> across the top row</w:t>
      </w:r>
      <w:r w:rsidR="00E83112">
        <w:rPr>
          <w:rFonts w:ascii="Cambria" w:hAnsi="Cambria"/>
          <w:color w:val="000000"/>
        </w:rPr>
        <w:t xml:space="preserve">).  Transfers from Canadian universities in other provinces had the highest </w:t>
      </w:r>
      <w:r w:rsidR="00287024">
        <w:rPr>
          <w:rFonts w:ascii="Cambria" w:hAnsi="Cambria"/>
          <w:color w:val="000000"/>
        </w:rPr>
        <w:t>C</w:t>
      </w:r>
      <w:r w:rsidR="00E83112">
        <w:rPr>
          <w:rFonts w:ascii="Cambria" w:hAnsi="Cambria"/>
          <w:color w:val="000000"/>
        </w:rPr>
        <w:t xml:space="preserve">GPAs, followed by </w:t>
      </w:r>
      <w:r w:rsidR="00E57858">
        <w:rPr>
          <w:rFonts w:ascii="Cambria" w:hAnsi="Cambria"/>
          <w:color w:val="000000"/>
        </w:rPr>
        <w:t xml:space="preserve">those </w:t>
      </w:r>
      <w:r w:rsidR="00E83112">
        <w:rPr>
          <w:rFonts w:ascii="Cambria" w:hAnsi="Cambria"/>
          <w:color w:val="000000"/>
        </w:rPr>
        <w:t>from Ontario universities</w:t>
      </w:r>
      <w:r w:rsidR="00287024">
        <w:rPr>
          <w:rFonts w:ascii="Cambria" w:hAnsi="Cambria"/>
          <w:color w:val="000000"/>
        </w:rPr>
        <w:t xml:space="preserve"> (the latter CGPA was statistically significantly higher than that for direct entry students)</w:t>
      </w:r>
      <w:r w:rsidR="00E83112">
        <w:rPr>
          <w:rFonts w:ascii="Cambria" w:hAnsi="Cambria"/>
          <w:color w:val="000000"/>
        </w:rPr>
        <w:t>.  </w:t>
      </w:r>
      <w:r w:rsidR="00287024">
        <w:rPr>
          <w:rFonts w:ascii="Cambria" w:hAnsi="Cambria"/>
          <w:color w:val="000000"/>
        </w:rPr>
        <w:t xml:space="preserve">Among sub-groups of </w:t>
      </w:r>
      <w:r w:rsidR="00E83112">
        <w:rPr>
          <w:rFonts w:ascii="Cambria" w:hAnsi="Cambria"/>
          <w:color w:val="000000"/>
        </w:rPr>
        <w:t>transfer</w:t>
      </w:r>
      <w:r w:rsidR="00287024">
        <w:rPr>
          <w:rFonts w:ascii="Cambria" w:hAnsi="Cambria"/>
          <w:color w:val="000000"/>
        </w:rPr>
        <w:t xml:space="preserve"> </w:t>
      </w:r>
      <w:r w:rsidR="00E83112">
        <w:rPr>
          <w:rFonts w:ascii="Cambria" w:hAnsi="Cambria"/>
          <w:color w:val="000000"/>
        </w:rPr>
        <w:t>s</w:t>
      </w:r>
      <w:r w:rsidR="00287024">
        <w:rPr>
          <w:rFonts w:ascii="Cambria" w:hAnsi="Cambria"/>
          <w:color w:val="000000"/>
        </w:rPr>
        <w:t>tudents, only those from</w:t>
      </w:r>
      <w:r w:rsidR="00E83112">
        <w:rPr>
          <w:rFonts w:ascii="Cambria" w:hAnsi="Cambria"/>
          <w:color w:val="000000"/>
        </w:rPr>
        <w:t xml:space="preserve"> Ontario community colleges had lower </w:t>
      </w:r>
      <w:r w:rsidR="006F6F40">
        <w:rPr>
          <w:rFonts w:ascii="Cambria" w:hAnsi="Cambria"/>
          <w:color w:val="000000"/>
        </w:rPr>
        <w:t>C</w:t>
      </w:r>
      <w:r w:rsidR="00E83112">
        <w:rPr>
          <w:rFonts w:ascii="Cambria" w:hAnsi="Cambria"/>
          <w:color w:val="000000"/>
        </w:rPr>
        <w:t>GPAs than direct entry students (</w:t>
      </w:r>
      <w:r w:rsidR="00FD5F2E">
        <w:rPr>
          <w:rFonts w:ascii="Cambria" w:hAnsi="Cambria"/>
          <w:color w:val="000000"/>
        </w:rPr>
        <w:t xml:space="preserve">though </w:t>
      </w:r>
      <w:r w:rsidR="00287024">
        <w:rPr>
          <w:rFonts w:ascii="Cambria" w:hAnsi="Cambria"/>
          <w:color w:val="000000"/>
        </w:rPr>
        <w:t xml:space="preserve">that difference was </w:t>
      </w:r>
      <w:r w:rsidR="00FD5F2E">
        <w:rPr>
          <w:rFonts w:ascii="Cambria" w:hAnsi="Cambria"/>
          <w:color w:val="000000"/>
        </w:rPr>
        <w:t>not statistically significant)</w:t>
      </w:r>
      <w:r w:rsidR="0069061F">
        <w:rPr>
          <w:rFonts w:ascii="Cambria" w:hAnsi="Cambria"/>
          <w:color w:val="000000"/>
        </w:rPr>
        <w:t>.</w:t>
      </w:r>
      <w:r w:rsidR="006F6F40">
        <w:rPr>
          <w:rFonts w:ascii="Cambria" w:hAnsi="Cambria"/>
          <w:color w:val="000000"/>
        </w:rPr>
        <w:t xml:space="preserve">  The ne</w:t>
      </w:r>
      <w:r>
        <w:rPr>
          <w:rFonts w:ascii="Cambria" w:hAnsi="Cambria"/>
          <w:color w:val="000000"/>
        </w:rPr>
        <w:t>xt</w:t>
      </w:r>
      <w:r w:rsidR="006F6F40">
        <w:rPr>
          <w:rFonts w:ascii="Cambria" w:hAnsi="Cambria"/>
          <w:color w:val="000000"/>
        </w:rPr>
        <w:t xml:space="preserve"> row shows that all subgroups of transfer students earned statistically significantly fewer credits at UofT. However, credit accumulation at an institution is an ambiguous measure of student success because it conflates 2 processes. On the one hand, some transfer students may acquire fewer credits at UofT simply because they were already granted credits for courses taken at their previous institution. On the other hand, some transfers may acquire fewer credits at UofT due to academic struggles.  To check for this, </w:t>
      </w:r>
      <w:r>
        <w:rPr>
          <w:rFonts w:ascii="Cambria" w:hAnsi="Cambria"/>
          <w:color w:val="000000"/>
        </w:rPr>
        <w:t xml:space="preserve">another outcome was created: “total credits” </w:t>
      </w:r>
      <w:r w:rsidR="006F6F40">
        <w:rPr>
          <w:rFonts w:ascii="Cambria" w:hAnsi="Cambria"/>
          <w:color w:val="000000"/>
        </w:rPr>
        <w:t xml:space="preserve">combines credits earned at UofT with those awarded through transfer.  </w:t>
      </w:r>
      <w:r>
        <w:rPr>
          <w:rFonts w:ascii="Cambria" w:hAnsi="Cambria"/>
          <w:color w:val="000000"/>
        </w:rPr>
        <w:t xml:space="preserve">The row for that outcome </w:t>
      </w:r>
      <w:r w:rsidR="006F6F40">
        <w:rPr>
          <w:rFonts w:ascii="Cambria" w:hAnsi="Cambria"/>
          <w:color w:val="000000"/>
        </w:rPr>
        <w:t xml:space="preserve">shows that only transfers from Ontario community college earned fewer total credits </w:t>
      </w:r>
      <w:r>
        <w:rPr>
          <w:rFonts w:ascii="Cambria" w:hAnsi="Cambria"/>
          <w:color w:val="000000"/>
        </w:rPr>
        <w:t xml:space="preserve">than did </w:t>
      </w:r>
      <w:r w:rsidR="006F6F40">
        <w:rPr>
          <w:rFonts w:ascii="Cambria" w:hAnsi="Cambria"/>
          <w:color w:val="000000"/>
        </w:rPr>
        <w:t xml:space="preserve">direct entry students. </w:t>
      </w:r>
      <w:r w:rsidR="0069061F">
        <w:rPr>
          <w:rFonts w:ascii="Cambria" w:hAnsi="Cambria"/>
          <w:color w:val="000000"/>
        </w:rPr>
        <w:t xml:space="preserve"> </w:t>
      </w:r>
      <w:r w:rsidR="00F869AB">
        <w:rPr>
          <w:rFonts w:ascii="Cambria" w:hAnsi="Cambria"/>
          <w:color w:val="000000"/>
        </w:rPr>
        <w:t xml:space="preserve">Transfer students’ academic fortunes thus varied. Transfers from universities generally had slightly better grades than direct entry students and earned comparable numbers of total credits. The higher-than-average GPAs of </w:t>
      </w:r>
      <w:r>
        <w:rPr>
          <w:rFonts w:ascii="Cambria" w:hAnsi="Cambria"/>
          <w:color w:val="000000"/>
        </w:rPr>
        <w:t xml:space="preserve">university </w:t>
      </w:r>
      <w:r w:rsidR="00F869AB">
        <w:rPr>
          <w:rFonts w:ascii="Cambria" w:hAnsi="Cambria"/>
          <w:color w:val="000000"/>
        </w:rPr>
        <w:t>transfers may be products of taking upper-level courses (e.g., 3</w:t>
      </w:r>
      <w:r w:rsidR="00F869AB">
        <w:rPr>
          <w:rFonts w:ascii="Cambria" w:hAnsi="Cambria"/>
          <w:color w:val="000000"/>
          <w:vertAlign w:val="superscript"/>
        </w:rPr>
        <w:t>rd</w:t>
      </w:r>
      <w:r w:rsidR="00F869AB">
        <w:rPr>
          <w:rFonts w:ascii="Cambria" w:hAnsi="Cambria"/>
          <w:color w:val="000000"/>
        </w:rPr>
        <w:t xml:space="preserve"> or 4</w:t>
      </w:r>
      <w:r w:rsidR="00F869AB">
        <w:rPr>
          <w:rFonts w:ascii="Cambria" w:hAnsi="Cambria"/>
          <w:color w:val="000000"/>
          <w:vertAlign w:val="superscript"/>
        </w:rPr>
        <w:t>th</w:t>
      </w:r>
      <w:r w:rsidR="00F869AB">
        <w:rPr>
          <w:rFonts w:ascii="Cambria" w:hAnsi="Cambria"/>
          <w:color w:val="000000"/>
        </w:rPr>
        <w:t xml:space="preserve"> year) at UofT in later years</w:t>
      </w:r>
      <w:r>
        <w:rPr>
          <w:rFonts w:ascii="Cambria" w:hAnsi="Cambria"/>
          <w:color w:val="000000"/>
        </w:rPr>
        <w:t>. T</w:t>
      </w:r>
      <w:r w:rsidR="00F869AB">
        <w:rPr>
          <w:rFonts w:ascii="Cambria" w:hAnsi="Cambria"/>
          <w:color w:val="000000"/>
        </w:rPr>
        <w:t xml:space="preserve">hose courses tend to grant higher grades than </w:t>
      </w:r>
      <w:r>
        <w:rPr>
          <w:rFonts w:ascii="Cambria" w:hAnsi="Cambria"/>
          <w:color w:val="000000"/>
        </w:rPr>
        <w:t xml:space="preserve">do </w:t>
      </w:r>
      <w:r w:rsidR="00F869AB">
        <w:rPr>
          <w:rFonts w:ascii="Cambria" w:hAnsi="Cambria"/>
          <w:color w:val="000000"/>
        </w:rPr>
        <w:t xml:space="preserve">lower level courses, </w:t>
      </w:r>
      <w:r w:rsidR="00EC301E">
        <w:rPr>
          <w:rFonts w:ascii="Cambria" w:hAnsi="Cambria"/>
          <w:color w:val="000000"/>
        </w:rPr>
        <w:t>as do</w:t>
      </w:r>
      <w:r w:rsidR="00EC301E" w:rsidRPr="00EC301E">
        <w:rPr>
          <w:rFonts w:ascii="Cambria" w:hAnsi="Cambria"/>
          <w:color w:val="000000"/>
        </w:rPr>
        <w:t xml:space="preserve"> </w:t>
      </w:r>
      <w:r w:rsidR="00EC301E">
        <w:rPr>
          <w:rFonts w:ascii="Cambria" w:hAnsi="Cambria"/>
          <w:color w:val="000000"/>
        </w:rPr>
        <w:t xml:space="preserve">non-STEM courses, which transfers have a greater </w:t>
      </w:r>
      <w:r w:rsidR="00F869AB">
        <w:rPr>
          <w:rFonts w:ascii="Cambria" w:hAnsi="Cambria"/>
          <w:color w:val="000000"/>
        </w:rPr>
        <w:t xml:space="preserve">tendency to take (described </w:t>
      </w:r>
      <w:r w:rsidR="00EC301E">
        <w:rPr>
          <w:rFonts w:ascii="Cambria" w:hAnsi="Cambria"/>
          <w:color w:val="000000"/>
        </w:rPr>
        <w:t xml:space="preserve">further </w:t>
      </w:r>
      <w:r w:rsidR="00F869AB">
        <w:rPr>
          <w:rFonts w:ascii="Cambria" w:hAnsi="Cambria"/>
          <w:color w:val="000000"/>
        </w:rPr>
        <w:t xml:space="preserve">below).  But transfers from Ontario community colleges appear to earn significantly fewer credits, and somewhat lower grades than do direct entry students. </w:t>
      </w:r>
    </w:p>
    <w:p w14:paraId="6914F169" w14:textId="1D47FE32" w:rsidR="00287024" w:rsidRDefault="00287024" w:rsidP="00E83112">
      <w:pPr>
        <w:spacing w:after="0"/>
        <w:ind w:left="120"/>
        <w:rPr>
          <w:rFonts w:ascii="Cambria" w:hAnsi="Cambria"/>
          <w:color w:val="000000"/>
        </w:rPr>
      </w:pPr>
    </w:p>
    <w:p w14:paraId="7D80C4F1" w14:textId="23C82EE4" w:rsidR="00B06CD7" w:rsidRPr="006F6F40" w:rsidRDefault="00F869AB" w:rsidP="00B06CD7">
      <w:pPr>
        <w:spacing w:after="0"/>
        <w:ind w:left="120"/>
        <w:rPr>
          <w:rFonts w:ascii="Cambria" w:hAnsi="Cambria"/>
          <w:color w:val="000000"/>
        </w:rPr>
      </w:pPr>
      <w:r>
        <w:rPr>
          <w:rFonts w:ascii="Cambria" w:hAnsi="Cambria"/>
          <w:color w:val="000000"/>
        </w:rPr>
        <w:tab/>
      </w:r>
      <w:r w:rsidR="00361040">
        <w:rPr>
          <w:rFonts w:ascii="Cambria" w:hAnsi="Cambria"/>
          <w:color w:val="000000"/>
        </w:rPr>
        <w:t xml:space="preserve">Table </w:t>
      </w:r>
      <w:r w:rsidR="00EC301E">
        <w:rPr>
          <w:rFonts w:ascii="Cambria" w:hAnsi="Cambria"/>
          <w:color w:val="000000"/>
        </w:rPr>
        <w:t>4</w:t>
      </w:r>
      <w:r w:rsidR="00361040">
        <w:rPr>
          <w:rFonts w:ascii="Cambria" w:hAnsi="Cambria"/>
          <w:color w:val="000000"/>
        </w:rPr>
        <w:t xml:space="preserve"> also </w:t>
      </w:r>
      <w:r>
        <w:rPr>
          <w:rFonts w:ascii="Cambria" w:hAnsi="Cambria"/>
          <w:color w:val="000000"/>
        </w:rPr>
        <w:t xml:space="preserve">displays statistics for two other outcomes at UofT: declaring a STEM field as one’s final field of study, and graduation status by </w:t>
      </w:r>
      <w:r w:rsidR="00EC301E">
        <w:rPr>
          <w:rFonts w:ascii="Cambria" w:hAnsi="Cambria"/>
          <w:color w:val="000000"/>
        </w:rPr>
        <w:t>Sept</w:t>
      </w:r>
      <w:r>
        <w:rPr>
          <w:rFonts w:ascii="Cambria" w:hAnsi="Cambria"/>
          <w:color w:val="000000"/>
        </w:rPr>
        <w:t xml:space="preserve"> 2021.  Beginning with fields</w:t>
      </w:r>
      <w:r w:rsidR="006F6F40">
        <w:rPr>
          <w:rFonts w:ascii="Cambria" w:hAnsi="Cambria"/>
          <w:color w:val="000000"/>
        </w:rPr>
        <w:t xml:space="preserve"> of study</w:t>
      </w:r>
      <w:r>
        <w:rPr>
          <w:rFonts w:ascii="Cambria" w:hAnsi="Cambria"/>
          <w:color w:val="000000"/>
        </w:rPr>
        <w:t xml:space="preserve">, the table </w:t>
      </w:r>
      <w:r w:rsidR="00B06CD7">
        <w:rPr>
          <w:rFonts w:ascii="Cambria" w:hAnsi="Cambria"/>
          <w:color w:val="000000"/>
        </w:rPr>
        <w:t>shows that whereas 4</w:t>
      </w:r>
      <w:r w:rsidR="00361040">
        <w:rPr>
          <w:rFonts w:ascii="Cambria" w:hAnsi="Cambria"/>
          <w:color w:val="000000"/>
        </w:rPr>
        <w:t>6</w:t>
      </w:r>
      <w:r w:rsidR="00B06CD7">
        <w:rPr>
          <w:rFonts w:ascii="Cambria" w:hAnsi="Cambria"/>
          <w:color w:val="000000"/>
        </w:rPr>
        <w:t xml:space="preserve">% of direct entry students </w:t>
      </w:r>
      <w:r w:rsidR="00A86371">
        <w:rPr>
          <w:rFonts w:ascii="Cambria" w:hAnsi="Cambria"/>
          <w:color w:val="000000"/>
        </w:rPr>
        <w:t>enter</w:t>
      </w:r>
      <w:r>
        <w:rPr>
          <w:rFonts w:ascii="Cambria" w:hAnsi="Cambria"/>
          <w:color w:val="000000"/>
        </w:rPr>
        <w:t>ed</w:t>
      </w:r>
      <w:r w:rsidR="00A86371">
        <w:rPr>
          <w:rFonts w:ascii="Cambria" w:hAnsi="Cambria"/>
          <w:color w:val="000000"/>
        </w:rPr>
        <w:t xml:space="preserve"> S</w:t>
      </w:r>
      <w:r w:rsidR="00B06CD7">
        <w:rPr>
          <w:rFonts w:ascii="Cambria" w:hAnsi="Cambria"/>
          <w:color w:val="000000"/>
        </w:rPr>
        <w:t>TEM fields, only 2</w:t>
      </w:r>
      <w:r w:rsidR="00361040">
        <w:rPr>
          <w:rFonts w:ascii="Cambria" w:hAnsi="Cambria"/>
          <w:color w:val="000000"/>
        </w:rPr>
        <w:t>6</w:t>
      </w:r>
      <w:r w:rsidR="00B06CD7">
        <w:rPr>
          <w:rFonts w:ascii="Cambria" w:hAnsi="Cambria"/>
          <w:color w:val="000000"/>
        </w:rPr>
        <w:t xml:space="preserve">% of transfers </w:t>
      </w:r>
      <w:r w:rsidR="00A86371">
        <w:rPr>
          <w:rFonts w:ascii="Cambria" w:hAnsi="Cambria"/>
          <w:color w:val="000000"/>
        </w:rPr>
        <w:t>d</w:t>
      </w:r>
      <w:r>
        <w:rPr>
          <w:rFonts w:ascii="Cambria" w:hAnsi="Cambria"/>
          <w:color w:val="000000"/>
        </w:rPr>
        <w:t>id</w:t>
      </w:r>
      <w:r w:rsidR="00A86371">
        <w:rPr>
          <w:rFonts w:ascii="Cambria" w:hAnsi="Cambria"/>
          <w:color w:val="000000"/>
        </w:rPr>
        <w:t xml:space="preserve"> so</w:t>
      </w:r>
      <w:r w:rsidR="00B06CD7">
        <w:rPr>
          <w:rFonts w:ascii="Cambria" w:hAnsi="Cambria"/>
          <w:color w:val="000000"/>
        </w:rPr>
        <w:t>.</w:t>
      </w:r>
      <w:r w:rsidR="002F4449" w:rsidRPr="002F4449">
        <w:rPr>
          <w:rFonts w:ascii="Cambria" w:hAnsi="Cambria"/>
          <w:color w:val="000000"/>
        </w:rPr>
        <w:t xml:space="preserve"> </w:t>
      </w:r>
      <w:r w:rsidR="002F4449">
        <w:rPr>
          <w:rFonts w:ascii="Cambria" w:hAnsi="Cambria"/>
          <w:color w:val="000000"/>
        </w:rPr>
        <w:t xml:space="preserve">Disaggregating those results (see </w:t>
      </w:r>
      <w:r w:rsidR="00361040">
        <w:rPr>
          <w:rFonts w:ascii="Cambria" w:hAnsi="Cambria"/>
          <w:color w:val="000000"/>
        </w:rPr>
        <w:t>columns</w:t>
      </w:r>
      <w:r w:rsidR="002F4449">
        <w:rPr>
          <w:rFonts w:ascii="Cambria" w:hAnsi="Cambria"/>
          <w:color w:val="000000"/>
        </w:rPr>
        <w:t xml:space="preserve"> 4-</w:t>
      </w:r>
      <w:r w:rsidR="00361040">
        <w:rPr>
          <w:rFonts w:ascii="Cambria" w:hAnsi="Cambria"/>
          <w:color w:val="000000"/>
        </w:rPr>
        <w:t>7</w:t>
      </w:r>
      <w:r w:rsidR="002F4449">
        <w:rPr>
          <w:rFonts w:ascii="Cambria" w:hAnsi="Cambria"/>
          <w:color w:val="000000"/>
        </w:rPr>
        <w:t>)</w:t>
      </w:r>
      <w:r w:rsidR="00E57858">
        <w:rPr>
          <w:rFonts w:ascii="Cambria" w:hAnsi="Cambria"/>
          <w:color w:val="000000"/>
        </w:rPr>
        <w:t xml:space="preserve"> shows that</w:t>
      </w:r>
      <w:r w:rsidR="0069061F" w:rsidRPr="0069061F">
        <w:rPr>
          <w:rFonts w:ascii="Cambria" w:hAnsi="Cambria"/>
          <w:color w:val="000000"/>
        </w:rPr>
        <w:t xml:space="preserve"> </w:t>
      </w:r>
      <w:r w:rsidR="0069061F">
        <w:rPr>
          <w:rFonts w:ascii="Cambria" w:hAnsi="Cambria"/>
          <w:color w:val="000000"/>
        </w:rPr>
        <w:t xml:space="preserve">transfers from Ontario </w:t>
      </w:r>
      <w:r w:rsidR="0069061F">
        <w:rPr>
          <w:rFonts w:ascii="Cambria" w:hAnsi="Cambria"/>
          <w:color w:val="000000"/>
        </w:rPr>
        <w:lastRenderedPageBreak/>
        <w:t>universities</w:t>
      </w:r>
      <w:r>
        <w:rPr>
          <w:rFonts w:ascii="Cambria" w:hAnsi="Cambria"/>
          <w:color w:val="000000"/>
        </w:rPr>
        <w:t>, other Canadian universities and especially Ontario community colleges</w:t>
      </w:r>
      <w:r w:rsidR="00E57858">
        <w:rPr>
          <w:rFonts w:ascii="Cambria" w:hAnsi="Cambria"/>
          <w:color w:val="000000"/>
        </w:rPr>
        <w:t xml:space="preserve"> </w:t>
      </w:r>
      <w:r w:rsidR="00EC301E">
        <w:rPr>
          <w:rFonts w:ascii="Cambria" w:hAnsi="Cambria"/>
          <w:color w:val="000000"/>
        </w:rPr>
        <w:t xml:space="preserve">each </w:t>
      </w:r>
      <w:r w:rsidR="0069061F">
        <w:rPr>
          <w:rFonts w:ascii="Cambria" w:hAnsi="Cambria"/>
          <w:color w:val="000000"/>
        </w:rPr>
        <w:t xml:space="preserve">entered </w:t>
      </w:r>
      <w:r w:rsidR="002F4449">
        <w:rPr>
          <w:rFonts w:ascii="Cambria" w:hAnsi="Cambria"/>
          <w:color w:val="000000"/>
        </w:rPr>
        <w:t xml:space="preserve">STEM </w:t>
      </w:r>
      <w:r w:rsidR="00EC301E">
        <w:rPr>
          <w:rFonts w:ascii="Cambria" w:hAnsi="Cambria"/>
          <w:color w:val="000000"/>
        </w:rPr>
        <w:t xml:space="preserve">fields </w:t>
      </w:r>
      <w:r w:rsidR="0069061F">
        <w:rPr>
          <w:rFonts w:ascii="Cambria" w:hAnsi="Cambria"/>
          <w:color w:val="000000"/>
        </w:rPr>
        <w:t xml:space="preserve">at </w:t>
      </w:r>
      <w:r w:rsidR="006F6F40">
        <w:rPr>
          <w:rFonts w:ascii="Cambria" w:hAnsi="Cambria"/>
          <w:color w:val="000000"/>
        </w:rPr>
        <w:t xml:space="preserve">statistically </w:t>
      </w:r>
      <w:r>
        <w:rPr>
          <w:rFonts w:ascii="Cambria" w:hAnsi="Cambria"/>
          <w:color w:val="000000"/>
        </w:rPr>
        <w:t xml:space="preserve">significantly lower </w:t>
      </w:r>
      <w:r w:rsidR="00EC301E">
        <w:rPr>
          <w:rFonts w:ascii="Cambria" w:hAnsi="Cambria"/>
          <w:color w:val="000000"/>
        </w:rPr>
        <w:t xml:space="preserve">rates </w:t>
      </w:r>
      <w:r w:rsidR="0069061F">
        <w:rPr>
          <w:rFonts w:ascii="Cambria" w:hAnsi="Cambria"/>
          <w:color w:val="000000"/>
        </w:rPr>
        <w:t xml:space="preserve">than </w:t>
      </w:r>
      <w:r w:rsidR="00EC301E">
        <w:rPr>
          <w:rFonts w:ascii="Cambria" w:hAnsi="Cambria"/>
          <w:color w:val="000000"/>
        </w:rPr>
        <w:t xml:space="preserve">did </w:t>
      </w:r>
      <w:r>
        <w:rPr>
          <w:rFonts w:ascii="Cambria" w:hAnsi="Cambria"/>
          <w:color w:val="000000"/>
        </w:rPr>
        <w:t>direct entry students</w:t>
      </w:r>
      <w:r w:rsidR="002F4449">
        <w:rPr>
          <w:rFonts w:ascii="Cambria" w:hAnsi="Cambria"/>
          <w:color w:val="000000"/>
        </w:rPr>
        <w:t>.</w:t>
      </w:r>
      <w:r w:rsidR="006F6F40">
        <w:rPr>
          <w:rFonts w:ascii="Cambria" w:hAnsi="Cambria"/>
          <w:color w:val="000000"/>
        </w:rPr>
        <w:t xml:space="preserve"> </w:t>
      </w:r>
    </w:p>
    <w:p w14:paraId="524BDBA9" w14:textId="7010CAAD" w:rsidR="0035376E" w:rsidRDefault="002F4449" w:rsidP="00B06CD7">
      <w:pPr>
        <w:spacing w:after="0"/>
        <w:ind w:left="120"/>
        <w:rPr>
          <w:rFonts w:ascii="Cambria" w:hAnsi="Cambria"/>
          <w:color w:val="000000"/>
        </w:rPr>
      </w:pPr>
      <w:r>
        <w:rPr>
          <w:rFonts w:ascii="Cambria" w:hAnsi="Cambria"/>
          <w:color w:val="000000"/>
        </w:rPr>
        <w:tab/>
        <w:t xml:space="preserve">Table </w:t>
      </w:r>
      <w:r w:rsidR="00D60D49">
        <w:rPr>
          <w:rFonts w:ascii="Cambria" w:hAnsi="Cambria"/>
          <w:color w:val="000000"/>
        </w:rPr>
        <w:t>4</w:t>
      </w:r>
      <w:r>
        <w:rPr>
          <w:rFonts w:ascii="Cambria" w:hAnsi="Cambria"/>
          <w:color w:val="000000"/>
        </w:rPr>
        <w:t xml:space="preserve"> shows that at the bivariate level, </w:t>
      </w:r>
      <w:r w:rsidR="00B06CD7">
        <w:rPr>
          <w:rFonts w:ascii="Cambria" w:hAnsi="Cambria"/>
          <w:color w:val="000000"/>
        </w:rPr>
        <w:t xml:space="preserve">transfer students </w:t>
      </w:r>
      <w:r w:rsidR="006F6F40">
        <w:rPr>
          <w:rFonts w:ascii="Cambria" w:hAnsi="Cambria"/>
          <w:color w:val="000000"/>
        </w:rPr>
        <w:t xml:space="preserve">in aggregate </w:t>
      </w:r>
      <w:r w:rsidR="00B06CD7">
        <w:rPr>
          <w:rFonts w:ascii="Cambria" w:hAnsi="Cambria"/>
          <w:color w:val="000000"/>
        </w:rPr>
        <w:t xml:space="preserve">had lower </w:t>
      </w:r>
      <w:r>
        <w:rPr>
          <w:rFonts w:ascii="Cambria" w:hAnsi="Cambria"/>
          <w:color w:val="000000"/>
        </w:rPr>
        <w:t>average graduation rates</w:t>
      </w:r>
      <w:r w:rsidR="00442F50">
        <w:rPr>
          <w:rFonts w:ascii="Cambria" w:hAnsi="Cambria"/>
          <w:color w:val="000000"/>
        </w:rPr>
        <w:t xml:space="preserve"> within the study’s time window</w:t>
      </w:r>
      <w:r>
        <w:rPr>
          <w:rFonts w:ascii="Cambria" w:hAnsi="Cambria"/>
          <w:color w:val="000000"/>
        </w:rPr>
        <w:t>.</w:t>
      </w:r>
      <w:r w:rsidR="00B06CD7">
        <w:rPr>
          <w:rFonts w:ascii="Cambria" w:hAnsi="Cambria"/>
          <w:color w:val="000000"/>
        </w:rPr>
        <w:t xml:space="preserve"> </w:t>
      </w:r>
      <w:r>
        <w:rPr>
          <w:rFonts w:ascii="Cambria" w:hAnsi="Cambria"/>
          <w:color w:val="000000"/>
        </w:rPr>
        <w:t>W</w:t>
      </w:r>
      <w:r w:rsidR="00B06CD7">
        <w:rPr>
          <w:rFonts w:ascii="Cambria" w:hAnsi="Cambria"/>
          <w:color w:val="000000"/>
        </w:rPr>
        <w:t xml:space="preserve">hereas </w:t>
      </w:r>
      <w:r w:rsidR="007802E4">
        <w:rPr>
          <w:rFonts w:ascii="Cambria" w:hAnsi="Cambria"/>
          <w:color w:val="000000"/>
        </w:rPr>
        <w:t>78</w:t>
      </w:r>
      <w:r w:rsidR="00B06CD7">
        <w:rPr>
          <w:rFonts w:ascii="Cambria" w:hAnsi="Cambria"/>
          <w:color w:val="000000"/>
        </w:rPr>
        <w:t>% of direct entry students graduated, only 7</w:t>
      </w:r>
      <w:r w:rsidR="007802E4">
        <w:rPr>
          <w:rFonts w:ascii="Cambria" w:hAnsi="Cambria"/>
          <w:color w:val="000000"/>
        </w:rPr>
        <w:t>0</w:t>
      </w:r>
      <w:r w:rsidR="00B06CD7">
        <w:rPr>
          <w:rFonts w:ascii="Cambria" w:hAnsi="Cambria"/>
          <w:color w:val="000000"/>
        </w:rPr>
        <w:t xml:space="preserve">% </w:t>
      </w:r>
      <w:r>
        <w:rPr>
          <w:rFonts w:ascii="Cambria" w:hAnsi="Cambria"/>
          <w:color w:val="000000"/>
        </w:rPr>
        <w:t>of transfer</w:t>
      </w:r>
      <w:r w:rsidR="000E04DD">
        <w:rPr>
          <w:rFonts w:ascii="Cambria" w:hAnsi="Cambria"/>
          <w:color w:val="000000"/>
        </w:rPr>
        <w:t>s</w:t>
      </w:r>
      <w:r>
        <w:rPr>
          <w:rFonts w:ascii="Cambria" w:hAnsi="Cambria"/>
          <w:color w:val="000000"/>
        </w:rPr>
        <w:t xml:space="preserve"> </w:t>
      </w:r>
      <w:r w:rsidR="007802E4">
        <w:rPr>
          <w:rFonts w:ascii="Cambria" w:hAnsi="Cambria"/>
          <w:color w:val="000000"/>
        </w:rPr>
        <w:t>in aggregate graduated</w:t>
      </w:r>
      <w:r w:rsidR="00B06CD7">
        <w:rPr>
          <w:rFonts w:ascii="Cambria" w:hAnsi="Cambria"/>
          <w:color w:val="000000"/>
        </w:rPr>
        <w:t xml:space="preserve"> a gap of </w:t>
      </w:r>
      <w:r w:rsidR="007802E4">
        <w:rPr>
          <w:rFonts w:ascii="Cambria" w:hAnsi="Cambria"/>
          <w:color w:val="000000"/>
        </w:rPr>
        <w:t>8</w:t>
      </w:r>
      <w:r w:rsidR="00B06CD7">
        <w:rPr>
          <w:rFonts w:ascii="Cambria" w:hAnsi="Cambria"/>
          <w:color w:val="000000"/>
        </w:rPr>
        <w:t>%.  </w:t>
      </w:r>
      <w:r w:rsidR="007802E4">
        <w:rPr>
          <w:rFonts w:ascii="Cambria" w:hAnsi="Cambria"/>
          <w:color w:val="000000"/>
        </w:rPr>
        <w:t>But d</w:t>
      </w:r>
      <w:r>
        <w:rPr>
          <w:rFonts w:ascii="Cambria" w:hAnsi="Cambria"/>
          <w:color w:val="000000"/>
        </w:rPr>
        <w:t xml:space="preserve">isaggregating those results </w:t>
      </w:r>
      <w:r w:rsidR="007802E4">
        <w:rPr>
          <w:rFonts w:ascii="Cambria" w:hAnsi="Cambria"/>
          <w:color w:val="000000"/>
        </w:rPr>
        <w:t>across subgroups reveals an important distinction. T</w:t>
      </w:r>
      <w:r w:rsidR="00B06CD7">
        <w:rPr>
          <w:rFonts w:ascii="Cambria" w:hAnsi="Cambria"/>
          <w:color w:val="000000"/>
        </w:rPr>
        <w:t>ransfers from Ontario</w:t>
      </w:r>
      <w:r w:rsidR="007802E4">
        <w:rPr>
          <w:rFonts w:ascii="Cambria" w:hAnsi="Cambria"/>
          <w:color w:val="000000"/>
        </w:rPr>
        <w:t xml:space="preserve"> </w:t>
      </w:r>
      <w:r w:rsidR="00C04CD3">
        <w:rPr>
          <w:rFonts w:ascii="Cambria" w:hAnsi="Cambria"/>
          <w:color w:val="000000"/>
        </w:rPr>
        <w:t xml:space="preserve">universities </w:t>
      </w:r>
      <w:r w:rsidR="007802E4">
        <w:rPr>
          <w:rFonts w:ascii="Cambria" w:hAnsi="Cambria"/>
          <w:color w:val="000000"/>
        </w:rPr>
        <w:t>and other Canadian</w:t>
      </w:r>
      <w:r w:rsidR="00B06CD7">
        <w:rPr>
          <w:rFonts w:ascii="Cambria" w:hAnsi="Cambria"/>
          <w:color w:val="000000"/>
        </w:rPr>
        <w:t xml:space="preserve"> universities</w:t>
      </w:r>
      <w:r w:rsidR="007802E4">
        <w:rPr>
          <w:rFonts w:ascii="Cambria" w:hAnsi="Cambria"/>
          <w:color w:val="000000"/>
        </w:rPr>
        <w:t xml:space="preserve"> graduat</w:t>
      </w:r>
      <w:r w:rsidR="00C04CD3">
        <w:rPr>
          <w:rFonts w:ascii="Cambria" w:hAnsi="Cambria"/>
          <w:color w:val="000000"/>
        </w:rPr>
        <w:t xml:space="preserve">ed at slightly </w:t>
      </w:r>
      <w:r w:rsidR="00C04CD3" w:rsidRPr="00C04CD3">
        <w:rPr>
          <w:rFonts w:ascii="Cambria" w:hAnsi="Cambria"/>
          <w:i/>
          <w:color w:val="000000"/>
        </w:rPr>
        <w:t>higher</w:t>
      </w:r>
      <w:r w:rsidR="00C04CD3">
        <w:rPr>
          <w:rFonts w:ascii="Cambria" w:hAnsi="Cambria"/>
          <w:color w:val="000000"/>
        </w:rPr>
        <w:t xml:space="preserve"> </w:t>
      </w:r>
      <w:r w:rsidR="007802E4">
        <w:rPr>
          <w:rFonts w:ascii="Cambria" w:hAnsi="Cambria"/>
          <w:color w:val="000000"/>
        </w:rPr>
        <w:t xml:space="preserve">rates than direct entry students. Among university transfers, only those </w:t>
      </w:r>
      <w:r w:rsidR="00B06CD7">
        <w:rPr>
          <w:rFonts w:ascii="Cambria" w:hAnsi="Cambria"/>
          <w:color w:val="000000"/>
        </w:rPr>
        <w:t>from international universities</w:t>
      </w:r>
      <w:r w:rsidR="00442F50">
        <w:rPr>
          <w:rFonts w:ascii="Cambria" w:hAnsi="Cambria"/>
          <w:color w:val="000000"/>
        </w:rPr>
        <w:t xml:space="preserve"> </w:t>
      </w:r>
      <w:r w:rsidR="007802E4">
        <w:rPr>
          <w:rFonts w:ascii="Cambria" w:hAnsi="Cambria"/>
          <w:color w:val="000000"/>
        </w:rPr>
        <w:t>had lower graduation rates tha</w:t>
      </w:r>
      <w:r w:rsidR="00C04CD3">
        <w:rPr>
          <w:rFonts w:ascii="Cambria" w:hAnsi="Cambria"/>
          <w:color w:val="000000"/>
        </w:rPr>
        <w:t>n</w:t>
      </w:r>
      <w:r w:rsidR="007802E4">
        <w:rPr>
          <w:rFonts w:ascii="Cambria" w:hAnsi="Cambria"/>
          <w:color w:val="000000"/>
        </w:rPr>
        <w:t xml:space="preserve"> direct entry students </w:t>
      </w:r>
      <w:r w:rsidR="00442F50">
        <w:rPr>
          <w:rFonts w:ascii="Cambria" w:hAnsi="Cambria"/>
          <w:color w:val="000000"/>
        </w:rPr>
        <w:t>(</w:t>
      </w:r>
      <w:r w:rsidR="007802E4">
        <w:rPr>
          <w:rFonts w:ascii="Cambria" w:hAnsi="Cambria"/>
          <w:color w:val="000000"/>
        </w:rPr>
        <w:t>7.7</w:t>
      </w:r>
      <w:r w:rsidR="00442F50">
        <w:rPr>
          <w:rFonts w:ascii="Cambria" w:hAnsi="Cambria"/>
          <w:color w:val="000000"/>
        </w:rPr>
        <w:t>%</w:t>
      </w:r>
      <w:r w:rsidR="007802E4">
        <w:rPr>
          <w:rFonts w:ascii="Cambria" w:hAnsi="Cambria"/>
          <w:color w:val="000000"/>
        </w:rPr>
        <w:t xml:space="preserve"> lower, not statistically significant</w:t>
      </w:r>
      <w:r w:rsidR="00442F50">
        <w:rPr>
          <w:rFonts w:ascii="Cambria" w:hAnsi="Cambria"/>
          <w:color w:val="000000"/>
        </w:rPr>
        <w:t>)</w:t>
      </w:r>
      <w:r w:rsidR="007802E4">
        <w:rPr>
          <w:rFonts w:ascii="Cambria" w:hAnsi="Cambria"/>
          <w:color w:val="000000"/>
        </w:rPr>
        <w:t xml:space="preserve">. However, </w:t>
      </w:r>
      <w:r w:rsidR="00C04CD3">
        <w:rPr>
          <w:rFonts w:ascii="Cambria" w:hAnsi="Cambria"/>
          <w:color w:val="000000"/>
        </w:rPr>
        <w:t xml:space="preserve">the graduation rate for </w:t>
      </w:r>
      <w:r w:rsidR="007802E4">
        <w:rPr>
          <w:rFonts w:ascii="Cambria" w:hAnsi="Cambria"/>
          <w:color w:val="000000"/>
        </w:rPr>
        <w:t>transfer</w:t>
      </w:r>
      <w:r w:rsidR="00C04CD3">
        <w:rPr>
          <w:rFonts w:ascii="Cambria" w:hAnsi="Cambria"/>
          <w:color w:val="000000"/>
        </w:rPr>
        <w:t>s</w:t>
      </w:r>
      <w:r w:rsidR="007802E4">
        <w:rPr>
          <w:rFonts w:ascii="Cambria" w:hAnsi="Cambria"/>
          <w:color w:val="000000"/>
        </w:rPr>
        <w:t xml:space="preserve"> from </w:t>
      </w:r>
      <w:r w:rsidR="00B06CD7">
        <w:rPr>
          <w:rFonts w:ascii="Cambria" w:hAnsi="Cambria"/>
          <w:color w:val="000000"/>
        </w:rPr>
        <w:t>Ontario com</w:t>
      </w:r>
      <w:r>
        <w:rPr>
          <w:rFonts w:ascii="Cambria" w:hAnsi="Cambria"/>
          <w:color w:val="000000"/>
        </w:rPr>
        <w:t>munity colleges</w:t>
      </w:r>
      <w:r w:rsidR="007802E4">
        <w:rPr>
          <w:rFonts w:ascii="Cambria" w:hAnsi="Cambria"/>
          <w:color w:val="000000"/>
        </w:rPr>
        <w:t xml:space="preserve"> was 15% lower, a statistically significant difference. </w:t>
      </w:r>
      <w:r w:rsidR="00442F50">
        <w:rPr>
          <w:rFonts w:ascii="Cambria" w:hAnsi="Cambria"/>
          <w:color w:val="000000"/>
        </w:rPr>
        <w:t xml:space="preserve"> </w:t>
      </w:r>
      <w:r w:rsidR="007802E4">
        <w:rPr>
          <w:rFonts w:ascii="Cambria" w:hAnsi="Cambria"/>
          <w:color w:val="000000"/>
        </w:rPr>
        <w:t xml:space="preserve">Indeed, only slightly more than half </w:t>
      </w:r>
      <w:r>
        <w:rPr>
          <w:rFonts w:ascii="Cambria" w:hAnsi="Cambria"/>
          <w:color w:val="000000"/>
        </w:rPr>
        <w:t>of community college transfers</w:t>
      </w:r>
      <w:r w:rsidR="00442F50">
        <w:rPr>
          <w:rFonts w:ascii="Cambria" w:hAnsi="Cambria"/>
          <w:color w:val="000000"/>
        </w:rPr>
        <w:t xml:space="preserve"> graduate</w:t>
      </w:r>
      <w:r w:rsidR="007802E4">
        <w:rPr>
          <w:rFonts w:ascii="Cambria" w:hAnsi="Cambria"/>
          <w:color w:val="000000"/>
        </w:rPr>
        <w:t>d</w:t>
      </w:r>
      <w:r w:rsidR="00C04CD3">
        <w:rPr>
          <w:rFonts w:ascii="Cambria" w:hAnsi="Cambria"/>
          <w:color w:val="000000"/>
        </w:rPr>
        <w:t xml:space="preserve"> within the timelines of the study</w:t>
      </w:r>
      <w:r w:rsidR="00B06CD7">
        <w:rPr>
          <w:rFonts w:ascii="Cambria" w:hAnsi="Cambria"/>
          <w:color w:val="000000"/>
        </w:rPr>
        <w:t>. </w:t>
      </w:r>
    </w:p>
    <w:p w14:paraId="0BB94504" w14:textId="3350556E" w:rsidR="00E130A0" w:rsidRDefault="0035376E" w:rsidP="00B06CD7">
      <w:pPr>
        <w:spacing w:after="0"/>
        <w:ind w:left="120"/>
        <w:rPr>
          <w:rFonts w:ascii="Cambria" w:hAnsi="Cambria"/>
          <w:color w:val="000000"/>
        </w:rPr>
      </w:pPr>
      <w:r>
        <w:rPr>
          <w:rFonts w:ascii="Cambria" w:hAnsi="Cambria"/>
          <w:color w:val="000000"/>
        </w:rPr>
        <w:tab/>
      </w:r>
      <w:r w:rsidR="007802E4">
        <w:rPr>
          <w:rFonts w:ascii="Cambria" w:hAnsi="Cambria"/>
          <w:color w:val="000000"/>
        </w:rPr>
        <w:t xml:space="preserve">To further </w:t>
      </w:r>
      <w:r w:rsidR="00C04CD3">
        <w:rPr>
          <w:rFonts w:ascii="Cambria" w:hAnsi="Cambria"/>
          <w:color w:val="000000"/>
        </w:rPr>
        <w:t xml:space="preserve">unpack </w:t>
      </w:r>
      <w:r w:rsidR="007802E4">
        <w:rPr>
          <w:rFonts w:ascii="Cambria" w:hAnsi="Cambria"/>
          <w:color w:val="000000"/>
        </w:rPr>
        <w:t xml:space="preserve">these differences, I </w:t>
      </w:r>
      <w:r w:rsidR="00C04CD3">
        <w:rPr>
          <w:rFonts w:ascii="Cambria" w:hAnsi="Cambria"/>
          <w:color w:val="000000"/>
        </w:rPr>
        <w:t xml:space="preserve">ran </w:t>
      </w:r>
      <w:r>
        <w:rPr>
          <w:rFonts w:ascii="Cambria" w:hAnsi="Cambria"/>
          <w:color w:val="000000"/>
        </w:rPr>
        <w:t xml:space="preserve">multivariate </w:t>
      </w:r>
      <w:r w:rsidR="00C04CD3">
        <w:rPr>
          <w:rFonts w:ascii="Cambria" w:hAnsi="Cambria"/>
          <w:color w:val="000000"/>
        </w:rPr>
        <w:t xml:space="preserve">models that predicted graduation with covariates for </w:t>
      </w:r>
      <w:r w:rsidR="00B06CD7">
        <w:rPr>
          <w:rFonts w:ascii="Cambria" w:hAnsi="Cambria"/>
          <w:color w:val="000000"/>
        </w:rPr>
        <w:t>demographics and high school academics</w:t>
      </w:r>
      <w:r>
        <w:rPr>
          <w:rFonts w:ascii="Cambria" w:hAnsi="Cambria"/>
          <w:color w:val="000000"/>
        </w:rPr>
        <w:t>.</w:t>
      </w:r>
      <w:r w:rsidR="00B06CD7">
        <w:rPr>
          <w:rFonts w:ascii="Cambria" w:hAnsi="Cambria"/>
          <w:color w:val="000000"/>
        </w:rPr>
        <w:t xml:space="preserve"> </w:t>
      </w:r>
      <w:r w:rsidR="007802E4">
        <w:rPr>
          <w:rFonts w:ascii="Cambria" w:hAnsi="Cambria"/>
          <w:color w:val="000000"/>
        </w:rPr>
        <w:t xml:space="preserve">Table </w:t>
      </w:r>
      <w:r w:rsidR="00C04CD3">
        <w:rPr>
          <w:rFonts w:ascii="Cambria" w:hAnsi="Cambria"/>
          <w:color w:val="000000"/>
        </w:rPr>
        <w:t>5</w:t>
      </w:r>
      <w:r w:rsidR="00E130A0">
        <w:rPr>
          <w:rFonts w:ascii="Cambria" w:hAnsi="Cambria"/>
          <w:color w:val="000000"/>
        </w:rPr>
        <w:t xml:space="preserve"> and Figures </w:t>
      </w:r>
      <w:r w:rsidR="00CF657A">
        <w:rPr>
          <w:rFonts w:ascii="Cambria" w:hAnsi="Cambria"/>
          <w:color w:val="000000"/>
        </w:rPr>
        <w:t>3</w:t>
      </w:r>
      <w:r w:rsidR="00E130A0">
        <w:rPr>
          <w:rFonts w:ascii="Cambria" w:hAnsi="Cambria"/>
          <w:color w:val="000000"/>
        </w:rPr>
        <w:t xml:space="preserve"> and </w:t>
      </w:r>
      <w:r w:rsidR="00CF657A">
        <w:rPr>
          <w:rFonts w:ascii="Cambria" w:hAnsi="Cambria"/>
          <w:color w:val="000000"/>
        </w:rPr>
        <w:t>4</w:t>
      </w:r>
      <w:r w:rsidR="007802E4">
        <w:rPr>
          <w:rFonts w:ascii="Cambria" w:hAnsi="Cambria"/>
          <w:color w:val="000000"/>
        </w:rPr>
        <w:t xml:space="preserve"> summarize</w:t>
      </w:r>
      <w:r w:rsidR="00E130A0">
        <w:rPr>
          <w:rFonts w:ascii="Cambria" w:hAnsi="Cambria"/>
          <w:color w:val="000000"/>
        </w:rPr>
        <w:t xml:space="preserve"> </w:t>
      </w:r>
      <w:r w:rsidR="007802E4">
        <w:rPr>
          <w:rFonts w:ascii="Cambria" w:hAnsi="Cambria"/>
          <w:color w:val="000000"/>
        </w:rPr>
        <w:t>predicted probabilities of graduating derived from</w:t>
      </w:r>
      <w:r>
        <w:rPr>
          <w:rFonts w:ascii="Cambria" w:hAnsi="Cambria"/>
          <w:color w:val="000000"/>
        </w:rPr>
        <w:t xml:space="preserve"> logi</w:t>
      </w:r>
      <w:r w:rsidR="00E130A0">
        <w:rPr>
          <w:rFonts w:ascii="Cambria" w:hAnsi="Cambria"/>
          <w:color w:val="000000"/>
        </w:rPr>
        <w:t>stic regression</w:t>
      </w:r>
      <w:r>
        <w:rPr>
          <w:rFonts w:ascii="Cambria" w:hAnsi="Cambria"/>
          <w:color w:val="000000"/>
        </w:rPr>
        <w:t xml:space="preserve"> models</w:t>
      </w:r>
      <w:r w:rsidR="00E130A0">
        <w:rPr>
          <w:rFonts w:ascii="Cambria" w:hAnsi="Cambria"/>
          <w:color w:val="000000"/>
        </w:rPr>
        <w:t xml:space="preserve"> that contain</w:t>
      </w:r>
      <w:r w:rsidR="00E130A0" w:rsidRPr="00E130A0">
        <w:rPr>
          <w:rFonts w:ascii="Cambria" w:hAnsi="Cambria"/>
          <w:color w:val="000000"/>
        </w:rPr>
        <w:t xml:space="preserve"> </w:t>
      </w:r>
      <w:r w:rsidR="00E130A0">
        <w:rPr>
          <w:rFonts w:ascii="Cambria" w:hAnsi="Cambria"/>
          <w:color w:val="000000"/>
        </w:rPr>
        <w:t xml:space="preserve">academic and demographic variables as well as measures of transfer credits awarded. The first column displays the raw rates for each subgroup unadjusted by any covariates. The second column displays predicted rates adjusted by average values across all students for all demographic and academic variables, while the next column adjusts those predictions using covariate means that are specific to each group. There is an important conceptual difference between those sets of predictions: the first set is based on imagining what a subgroup’s graduation rate would be if they had demographic and academic profiles typical of </w:t>
      </w:r>
      <w:r w:rsidR="00E130A0" w:rsidRPr="00E130A0">
        <w:rPr>
          <w:rFonts w:ascii="Cambria" w:hAnsi="Cambria"/>
          <w:i/>
          <w:color w:val="000000"/>
        </w:rPr>
        <w:t>all</w:t>
      </w:r>
      <w:r w:rsidR="00E130A0">
        <w:rPr>
          <w:rFonts w:ascii="Cambria" w:hAnsi="Cambria"/>
          <w:color w:val="000000"/>
        </w:rPr>
        <w:t xml:space="preserve"> students, while, the second set is based on the typical profile of their </w:t>
      </w:r>
      <w:r w:rsidR="00CF657A">
        <w:rPr>
          <w:rFonts w:ascii="Cambria" w:hAnsi="Cambria"/>
          <w:color w:val="000000"/>
        </w:rPr>
        <w:t xml:space="preserve">own </w:t>
      </w:r>
      <w:r w:rsidR="00E130A0">
        <w:rPr>
          <w:rFonts w:ascii="Cambria" w:hAnsi="Cambria"/>
          <w:color w:val="000000"/>
        </w:rPr>
        <w:t xml:space="preserve">subgroup.   </w:t>
      </w:r>
      <w:r w:rsidR="00886ED7">
        <w:rPr>
          <w:rFonts w:ascii="Cambria" w:hAnsi="Cambria"/>
          <w:color w:val="000000"/>
        </w:rPr>
        <w:t>The next 2 columns repeat that process while adding numbers of transfer credits awarded.</w:t>
      </w:r>
      <w:r w:rsidR="00E130A0">
        <w:rPr>
          <w:rFonts w:ascii="Cambria" w:hAnsi="Cambria"/>
          <w:color w:val="000000"/>
        </w:rPr>
        <w:t xml:space="preserve">   </w:t>
      </w:r>
    </w:p>
    <w:p w14:paraId="4E07FB9D" w14:textId="77777777" w:rsidR="00CF657A" w:rsidRDefault="00886ED7" w:rsidP="00B06CD7">
      <w:pPr>
        <w:spacing w:after="0"/>
        <w:ind w:left="120"/>
        <w:rPr>
          <w:rFonts w:ascii="Cambria" w:hAnsi="Cambria"/>
          <w:color w:val="000000"/>
        </w:rPr>
      </w:pPr>
      <w:r>
        <w:rPr>
          <w:rFonts w:ascii="Cambria" w:hAnsi="Cambria"/>
          <w:color w:val="000000"/>
        </w:rPr>
        <w:tab/>
        <w:t xml:space="preserve">Table </w:t>
      </w:r>
      <w:r w:rsidR="00CF657A">
        <w:rPr>
          <w:rFonts w:ascii="Cambria" w:hAnsi="Cambria"/>
          <w:color w:val="000000"/>
        </w:rPr>
        <w:t>5</w:t>
      </w:r>
      <w:r>
        <w:rPr>
          <w:rFonts w:ascii="Cambria" w:hAnsi="Cambria"/>
          <w:color w:val="000000"/>
        </w:rPr>
        <w:t xml:space="preserve"> shows that graduation rates would </w:t>
      </w:r>
      <w:r w:rsidR="00CF657A">
        <w:rPr>
          <w:rFonts w:ascii="Cambria" w:hAnsi="Cambria"/>
          <w:color w:val="000000"/>
        </w:rPr>
        <w:t xml:space="preserve">be predicted to </w:t>
      </w:r>
      <w:r>
        <w:rPr>
          <w:rFonts w:ascii="Cambria" w:hAnsi="Cambria"/>
          <w:color w:val="000000"/>
        </w:rPr>
        <w:t xml:space="preserve">rise among all groups if </w:t>
      </w:r>
      <w:r w:rsidR="00811CE9">
        <w:rPr>
          <w:rFonts w:ascii="Cambria" w:hAnsi="Cambria"/>
          <w:color w:val="000000"/>
        </w:rPr>
        <w:t xml:space="preserve">each </w:t>
      </w:r>
      <w:r>
        <w:rPr>
          <w:rFonts w:ascii="Cambria" w:hAnsi="Cambria"/>
          <w:color w:val="000000"/>
        </w:rPr>
        <w:t xml:space="preserve">had academic and demographic profiles that were typical of all students in the TDSB-UofT pathway. Importantly, the predicted graduation rate would rise markedly among transfers from Ontario community colleges, from 53% to 76%. In other words, if transfers </w:t>
      </w:r>
      <w:r w:rsidR="00811CE9">
        <w:rPr>
          <w:rFonts w:ascii="Cambria" w:hAnsi="Cambria"/>
          <w:color w:val="000000"/>
        </w:rPr>
        <w:t xml:space="preserve">from those colleges </w:t>
      </w:r>
      <w:r>
        <w:rPr>
          <w:rFonts w:ascii="Cambria" w:hAnsi="Cambria"/>
          <w:color w:val="000000"/>
        </w:rPr>
        <w:t xml:space="preserve">had the same demographic and academic characteristics </w:t>
      </w:r>
      <w:r w:rsidR="00811CE9">
        <w:rPr>
          <w:rFonts w:ascii="Cambria" w:hAnsi="Cambria"/>
          <w:color w:val="000000"/>
        </w:rPr>
        <w:t xml:space="preserve">as </w:t>
      </w:r>
      <w:r>
        <w:rPr>
          <w:rFonts w:ascii="Cambria" w:hAnsi="Cambria"/>
          <w:color w:val="000000"/>
        </w:rPr>
        <w:t>all other students, their graduation rate would</w:t>
      </w:r>
      <w:r w:rsidR="00FC1315">
        <w:rPr>
          <w:rFonts w:ascii="Cambria" w:hAnsi="Cambria"/>
          <w:color w:val="000000"/>
        </w:rPr>
        <w:t xml:space="preserve"> </w:t>
      </w:r>
      <w:r>
        <w:rPr>
          <w:rFonts w:ascii="Cambria" w:hAnsi="Cambria"/>
          <w:color w:val="000000"/>
        </w:rPr>
        <w:t xml:space="preserve">increase by 23%. Since academic variables are stronger predictors of graduation than are demographic variables, </w:t>
      </w:r>
      <w:r w:rsidR="00FC1315">
        <w:rPr>
          <w:rFonts w:ascii="Cambria" w:hAnsi="Cambria"/>
          <w:color w:val="000000"/>
        </w:rPr>
        <w:t>t</w:t>
      </w:r>
      <w:r>
        <w:rPr>
          <w:rFonts w:ascii="Cambria" w:hAnsi="Cambria"/>
          <w:color w:val="000000"/>
        </w:rPr>
        <w:t xml:space="preserve">his </w:t>
      </w:r>
      <w:r w:rsidR="00811CE9">
        <w:rPr>
          <w:rFonts w:ascii="Cambria" w:hAnsi="Cambria"/>
          <w:color w:val="000000"/>
        </w:rPr>
        <w:t xml:space="preserve">prediction </w:t>
      </w:r>
      <w:r>
        <w:rPr>
          <w:rFonts w:ascii="Cambria" w:hAnsi="Cambria"/>
          <w:color w:val="000000"/>
        </w:rPr>
        <w:t>suggests that the problem</w:t>
      </w:r>
      <w:r w:rsidR="00811CE9">
        <w:rPr>
          <w:rFonts w:ascii="Cambria" w:hAnsi="Cambria"/>
          <w:color w:val="000000"/>
        </w:rPr>
        <w:t>s</w:t>
      </w:r>
      <w:r>
        <w:rPr>
          <w:rFonts w:ascii="Cambria" w:hAnsi="Cambria"/>
          <w:color w:val="000000"/>
        </w:rPr>
        <w:t xml:space="preserve"> facing transfers from Ontario community colleges </w:t>
      </w:r>
      <w:r w:rsidR="00811CE9">
        <w:rPr>
          <w:rFonts w:ascii="Cambria" w:hAnsi="Cambria"/>
          <w:color w:val="000000"/>
        </w:rPr>
        <w:t xml:space="preserve">in UofT are largely due </w:t>
      </w:r>
      <w:r w:rsidR="00FC1315">
        <w:rPr>
          <w:rFonts w:ascii="Cambria" w:hAnsi="Cambria"/>
          <w:color w:val="000000"/>
        </w:rPr>
        <w:t xml:space="preserve">to </w:t>
      </w:r>
      <w:r>
        <w:rPr>
          <w:rFonts w:ascii="Cambria" w:hAnsi="Cambria"/>
          <w:color w:val="000000"/>
        </w:rPr>
        <w:t>their less</w:t>
      </w:r>
      <w:r w:rsidR="00FC1315">
        <w:rPr>
          <w:rFonts w:ascii="Cambria" w:hAnsi="Cambria"/>
          <w:color w:val="000000"/>
        </w:rPr>
        <w:t xml:space="preserve"> than average </w:t>
      </w:r>
      <w:r>
        <w:rPr>
          <w:rFonts w:ascii="Cambria" w:hAnsi="Cambria"/>
          <w:color w:val="000000"/>
        </w:rPr>
        <w:t>academic preparation</w:t>
      </w:r>
      <w:r w:rsidR="00FC1315">
        <w:rPr>
          <w:rFonts w:ascii="Cambria" w:hAnsi="Cambria"/>
          <w:color w:val="000000"/>
        </w:rPr>
        <w:t xml:space="preserve">. </w:t>
      </w:r>
      <w:r>
        <w:rPr>
          <w:rFonts w:ascii="Cambria" w:hAnsi="Cambria"/>
          <w:color w:val="000000"/>
        </w:rPr>
        <w:t xml:space="preserve"> </w:t>
      </w:r>
      <w:r w:rsidR="00FC1315">
        <w:rPr>
          <w:rFonts w:ascii="Cambria" w:hAnsi="Cambria"/>
          <w:color w:val="000000"/>
        </w:rPr>
        <w:t xml:space="preserve">But on the other hand, the </w:t>
      </w:r>
      <w:r w:rsidR="00811CE9">
        <w:rPr>
          <w:rFonts w:ascii="Cambria" w:hAnsi="Cambria"/>
          <w:color w:val="000000"/>
        </w:rPr>
        <w:t xml:space="preserve">prediction </w:t>
      </w:r>
      <w:r w:rsidR="00FC1315">
        <w:rPr>
          <w:rFonts w:ascii="Cambria" w:hAnsi="Cambria"/>
          <w:color w:val="000000"/>
        </w:rPr>
        <w:t xml:space="preserve">suggests that even with comparable demographics and academics, community college transfers would have graduation rates 6% less than direct entry students, and 8% less than their counterparts from universities.   Thus, these models suggest that transfers from colleges face additional hurdles when attempting to graduate from UofT. </w:t>
      </w:r>
    </w:p>
    <w:p w14:paraId="27C9E910" w14:textId="125545FB" w:rsidR="00B06CD7" w:rsidRDefault="00C6680E" w:rsidP="00B06CD7">
      <w:pPr>
        <w:spacing w:after="0"/>
        <w:ind w:left="120"/>
      </w:pPr>
      <w:r>
        <w:rPr>
          <w:rFonts w:ascii="Cambria" w:hAnsi="Cambria"/>
          <w:color w:val="000000"/>
        </w:rPr>
        <w:tab/>
      </w:r>
      <w:r w:rsidR="00FC1315">
        <w:rPr>
          <w:rFonts w:ascii="Cambria" w:hAnsi="Cambria"/>
          <w:color w:val="000000"/>
        </w:rPr>
        <w:t xml:space="preserve">To </w:t>
      </w:r>
      <w:r>
        <w:rPr>
          <w:rFonts w:ascii="Cambria" w:hAnsi="Cambria"/>
          <w:color w:val="000000"/>
        </w:rPr>
        <w:t xml:space="preserve">further </w:t>
      </w:r>
      <w:r w:rsidR="00FC1315">
        <w:rPr>
          <w:rFonts w:ascii="Cambria" w:hAnsi="Cambria"/>
          <w:color w:val="000000"/>
        </w:rPr>
        <w:t>illustrate the</w:t>
      </w:r>
      <w:r w:rsidR="00CF657A">
        <w:rPr>
          <w:rFonts w:ascii="Cambria" w:hAnsi="Cambria"/>
          <w:color w:val="000000"/>
        </w:rPr>
        <w:t xml:space="preserve"> importance of prior academic preparation for graduating from university,</w:t>
      </w:r>
      <w:r w:rsidR="00FC1315">
        <w:rPr>
          <w:rFonts w:ascii="Cambria" w:hAnsi="Cambria"/>
          <w:color w:val="000000"/>
        </w:rPr>
        <w:t xml:space="preserve"> </w:t>
      </w:r>
      <w:r w:rsidR="00740C39">
        <w:rPr>
          <w:rFonts w:ascii="Cambria" w:hAnsi="Cambria"/>
          <w:color w:val="000000"/>
        </w:rPr>
        <w:t>Figure</w:t>
      </w:r>
      <w:r w:rsidR="00FC1315">
        <w:rPr>
          <w:rFonts w:ascii="Cambria" w:hAnsi="Cambria"/>
          <w:color w:val="000000"/>
        </w:rPr>
        <w:t>s</w:t>
      </w:r>
      <w:r w:rsidR="00740C39">
        <w:rPr>
          <w:rFonts w:ascii="Cambria" w:hAnsi="Cambria"/>
          <w:color w:val="000000"/>
        </w:rPr>
        <w:t xml:space="preserve"> </w:t>
      </w:r>
      <w:r w:rsidR="00CF657A">
        <w:rPr>
          <w:rFonts w:ascii="Cambria" w:hAnsi="Cambria"/>
          <w:color w:val="000000"/>
        </w:rPr>
        <w:t>3</w:t>
      </w:r>
      <w:r w:rsidR="00FC1315">
        <w:rPr>
          <w:rFonts w:ascii="Cambria" w:hAnsi="Cambria"/>
          <w:color w:val="000000"/>
        </w:rPr>
        <w:t xml:space="preserve"> and </w:t>
      </w:r>
      <w:r w:rsidR="00CF657A">
        <w:rPr>
          <w:rFonts w:ascii="Cambria" w:hAnsi="Cambria"/>
          <w:color w:val="000000"/>
        </w:rPr>
        <w:t>4</w:t>
      </w:r>
      <w:r w:rsidR="00FC1315">
        <w:rPr>
          <w:rFonts w:ascii="Cambria" w:hAnsi="Cambria"/>
          <w:color w:val="000000"/>
        </w:rPr>
        <w:t xml:space="preserve"> </w:t>
      </w:r>
      <w:r w:rsidR="00740C39">
        <w:rPr>
          <w:rFonts w:ascii="Cambria" w:hAnsi="Cambria"/>
          <w:color w:val="000000"/>
        </w:rPr>
        <w:t>compare probabilit</w:t>
      </w:r>
      <w:r w:rsidR="00FC1315">
        <w:rPr>
          <w:rFonts w:ascii="Cambria" w:hAnsi="Cambria"/>
          <w:color w:val="000000"/>
        </w:rPr>
        <w:t xml:space="preserve">ies </w:t>
      </w:r>
      <w:r w:rsidR="00740C39">
        <w:rPr>
          <w:rFonts w:ascii="Cambria" w:hAnsi="Cambria"/>
          <w:color w:val="000000"/>
        </w:rPr>
        <w:t xml:space="preserve">of graduating </w:t>
      </w:r>
      <w:r w:rsidR="00FC1315">
        <w:rPr>
          <w:rFonts w:ascii="Cambria" w:hAnsi="Cambria"/>
          <w:color w:val="000000"/>
        </w:rPr>
        <w:t>across different levels of s</w:t>
      </w:r>
      <w:r w:rsidR="00740C39">
        <w:rPr>
          <w:rFonts w:ascii="Cambria" w:hAnsi="Cambria"/>
          <w:color w:val="000000"/>
        </w:rPr>
        <w:t>tudents’ high school average</w:t>
      </w:r>
      <w:r w:rsidR="00FC1315">
        <w:rPr>
          <w:rFonts w:ascii="Cambria" w:hAnsi="Cambria"/>
          <w:color w:val="000000"/>
        </w:rPr>
        <w:t xml:space="preserve"> grade</w:t>
      </w:r>
      <w:r w:rsidR="00740C39">
        <w:rPr>
          <w:rFonts w:ascii="Cambria" w:hAnsi="Cambria"/>
          <w:color w:val="000000"/>
        </w:rPr>
        <w:t xml:space="preserve">s. </w:t>
      </w:r>
      <w:r w:rsidR="00FC1315">
        <w:rPr>
          <w:rFonts w:ascii="Cambria" w:hAnsi="Cambria"/>
          <w:color w:val="000000"/>
        </w:rPr>
        <w:t>They</w:t>
      </w:r>
      <w:r w:rsidR="00740C39">
        <w:rPr>
          <w:rFonts w:ascii="Cambria" w:hAnsi="Cambria"/>
          <w:color w:val="000000"/>
        </w:rPr>
        <w:t xml:space="preserve"> show that </w:t>
      </w:r>
      <w:r w:rsidR="00811CE9">
        <w:rPr>
          <w:rFonts w:ascii="Cambria" w:hAnsi="Cambria"/>
          <w:color w:val="000000"/>
        </w:rPr>
        <w:t xml:space="preserve">students’ graduation rates rise steadily with higher school grades, though transfers from community colleges still suffer lower graduation rates than other </w:t>
      </w:r>
      <w:r w:rsidR="00740C39">
        <w:rPr>
          <w:rFonts w:ascii="Cambria" w:hAnsi="Cambria"/>
          <w:color w:val="000000"/>
        </w:rPr>
        <w:t>students with similar grades.</w:t>
      </w:r>
      <w:r w:rsidR="00811CE9">
        <w:rPr>
          <w:rFonts w:ascii="Cambria" w:hAnsi="Cambria"/>
          <w:color w:val="000000"/>
        </w:rPr>
        <w:t xml:space="preserve">  </w:t>
      </w:r>
    </w:p>
    <w:p w14:paraId="0B173ABA" w14:textId="593BB47D" w:rsidR="003A2989" w:rsidRDefault="0008505D" w:rsidP="008801F7">
      <w:pPr>
        <w:spacing w:after="0"/>
        <w:ind w:left="120"/>
        <w:rPr>
          <w:rFonts w:ascii="Cambria" w:hAnsi="Cambria"/>
          <w:color w:val="000000"/>
        </w:rPr>
      </w:pPr>
      <w:r>
        <w:rPr>
          <w:rFonts w:ascii="Cambria" w:hAnsi="Cambria"/>
          <w:color w:val="000000"/>
        </w:rPr>
        <w:lastRenderedPageBreak/>
        <w:tab/>
        <w:t>These</w:t>
      </w:r>
      <w:r w:rsidR="00552D1D">
        <w:rPr>
          <w:rFonts w:ascii="Cambria" w:hAnsi="Cambria"/>
          <w:color w:val="000000"/>
        </w:rPr>
        <w:t xml:space="preserve"> </w:t>
      </w:r>
      <w:r>
        <w:rPr>
          <w:rFonts w:ascii="Cambria" w:hAnsi="Cambria"/>
          <w:color w:val="000000"/>
        </w:rPr>
        <w:t>analyses have</w:t>
      </w:r>
      <w:r w:rsidR="00552D1D">
        <w:rPr>
          <w:rFonts w:ascii="Cambria" w:hAnsi="Cambria"/>
          <w:color w:val="000000"/>
        </w:rPr>
        <w:t xml:space="preserve"> </w:t>
      </w:r>
      <w:r w:rsidR="008801F7">
        <w:rPr>
          <w:rFonts w:ascii="Cambria" w:hAnsi="Cambria"/>
          <w:color w:val="000000"/>
        </w:rPr>
        <w:t xml:space="preserve">several </w:t>
      </w:r>
      <w:r w:rsidR="00552D1D">
        <w:rPr>
          <w:rFonts w:ascii="Cambria" w:hAnsi="Cambria"/>
          <w:color w:val="000000"/>
        </w:rPr>
        <w:t>implications for understanding</w:t>
      </w:r>
      <w:r w:rsidR="00E628C7">
        <w:rPr>
          <w:rFonts w:ascii="Cambria" w:hAnsi="Cambria"/>
          <w:color w:val="000000"/>
        </w:rPr>
        <w:t xml:space="preserve"> graduation gaps</w:t>
      </w:r>
      <w:r w:rsidR="00552D1D">
        <w:rPr>
          <w:rFonts w:ascii="Cambria" w:hAnsi="Cambria"/>
          <w:color w:val="000000"/>
        </w:rPr>
        <w:t xml:space="preserve"> </w:t>
      </w:r>
      <w:r w:rsidR="00E628C7">
        <w:rPr>
          <w:rFonts w:ascii="Cambria" w:hAnsi="Cambria"/>
          <w:color w:val="000000"/>
        </w:rPr>
        <w:t>between transfers and direct entry students</w:t>
      </w:r>
      <w:r w:rsidR="00552D1D">
        <w:rPr>
          <w:rFonts w:ascii="Cambria" w:hAnsi="Cambria"/>
          <w:color w:val="000000"/>
        </w:rPr>
        <w:t xml:space="preserve">. First, </w:t>
      </w:r>
      <w:r w:rsidR="00E628C7">
        <w:rPr>
          <w:rFonts w:ascii="Cambria" w:hAnsi="Cambria"/>
          <w:color w:val="000000"/>
        </w:rPr>
        <w:t>th</w:t>
      </w:r>
      <w:r w:rsidR="005A4FB8">
        <w:rPr>
          <w:rFonts w:ascii="Cambria" w:hAnsi="Cambria"/>
          <w:color w:val="000000"/>
        </w:rPr>
        <w:t xml:space="preserve">ose gaps were largely limited to community college transfers. Transfer from universities had UofT outcomes that were comparable to direct entry students except from their lesser propensity to enter STEM fields of study at UofT. But college transfers also earned significantly fewer total credits and had markedly worse graduation rates. </w:t>
      </w:r>
      <w:r w:rsidR="00984C18">
        <w:rPr>
          <w:rFonts w:ascii="Cambria" w:hAnsi="Cambria"/>
        </w:rPr>
        <w:t xml:space="preserve"> </w:t>
      </w:r>
      <w:r w:rsidR="00552D1D">
        <w:rPr>
          <w:rFonts w:ascii="Cambria" w:hAnsi="Cambria"/>
          <w:color w:val="000000"/>
        </w:rPr>
        <w:t xml:space="preserve"> Second, </w:t>
      </w:r>
      <w:r w:rsidR="005A4FB8">
        <w:rPr>
          <w:rFonts w:ascii="Cambria" w:hAnsi="Cambria"/>
          <w:color w:val="000000"/>
        </w:rPr>
        <w:t xml:space="preserve">those </w:t>
      </w:r>
      <w:r w:rsidR="00552D1D">
        <w:rPr>
          <w:rFonts w:ascii="Cambria" w:hAnsi="Cambria"/>
          <w:color w:val="000000"/>
        </w:rPr>
        <w:t>gap</w:t>
      </w:r>
      <w:r>
        <w:rPr>
          <w:rFonts w:ascii="Cambria" w:hAnsi="Cambria"/>
          <w:color w:val="000000"/>
        </w:rPr>
        <w:t xml:space="preserve">s </w:t>
      </w:r>
      <w:r w:rsidR="005A4FB8">
        <w:rPr>
          <w:rFonts w:ascii="Cambria" w:hAnsi="Cambria"/>
          <w:color w:val="000000"/>
        </w:rPr>
        <w:t xml:space="preserve">were partly </w:t>
      </w:r>
      <w:r w:rsidR="00552D1D">
        <w:rPr>
          <w:rFonts w:ascii="Cambria" w:hAnsi="Cambria"/>
          <w:color w:val="000000"/>
        </w:rPr>
        <w:t>function</w:t>
      </w:r>
      <w:r>
        <w:rPr>
          <w:rFonts w:ascii="Cambria" w:hAnsi="Cambria"/>
          <w:color w:val="000000"/>
        </w:rPr>
        <w:t>s</w:t>
      </w:r>
      <w:r w:rsidR="00552D1D">
        <w:rPr>
          <w:rFonts w:ascii="Cambria" w:hAnsi="Cambria"/>
          <w:color w:val="000000"/>
        </w:rPr>
        <w:t xml:space="preserve"> of </w:t>
      </w:r>
      <w:r w:rsidR="005A4FB8">
        <w:rPr>
          <w:rFonts w:ascii="Cambria" w:hAnsi="Cambria"/>
          <w:color w:val="000000"/>
        </w:rPr>
        <w:t xml:space="preserve">community college </w:t>
      </w:r>
      <w:r w:rsidR="00552D1D">
        <w:rPr>
          <w:rFonts w:ascii="Cambria" w:hAnsi="Cambria"/>
          <w:color w:val="000000"/>
        </w:rPr>
        <w:t>students’ pre-existing demographic characteristics and high school academic track records</w:t>
      </w:r>
      <w:r w:rsidR="005A4FB8">
        <w:rPr>
          <w:rFonts w:ascii="Cambria" w:hAnsi="Cambria"/>
          <w:color w:val="000000"/>
        </w:rPr>
        <w:t xml:space="preserve">. Those students’ predicted graduation rates rose significantly when </w:t>
      </w:r>
      <w:r w:rsidR="008801F7">
        <w:rPr>
          <w:rFonts w:ascii="Cambria" w:hAnsi="Cambria"/>
          <w:color w:val="000000"/>
        </w:rPr>
        <w:t xml:space="preserve">they were based on having </w:t>
      </w:r>
      <w:r>
        <w:rPr>
          <w:rFonts w:ascii="Cambria" w:hAnsi="Cambria"/>
          <w:color w:val="000000"/>
        </w:rPr>
        <w:t>‘average’ characteristics of all students</w:t>
      </w:r>
      <w:r w:rsidR="00552D1D">
        <w:rPr>
          <w:rFonts w:ascii="Cambria" w:hAnsi="Cambria"/>
          <w:color w:val="000000"/>
        </w:rPr>
        <w:t>.</w:t>
      </w:r>
      <w:r w:rsidR="00E628C7">
        <w:rPr>
          <w:rFonts w:ascii="Cambria" w:hAnsi="Cambria"/>
          <w:color w:val="000000"/>
        </w:rPr>
        <w:t xml:space="preserve"> </w:t>
      </w:r>
      <w:r>
        <w:rPr>
          <w:rFonts w:ascii="Cambria" w:hAnsi="Cambria"/>
          <w:color w:val="000000"/>
        </w:rPr>
        <w:t xml:space="preserve">Third, </w:t>
      </w:r>
      <w:r w:rsidR="00B961B9">
        <w:rPr>
          <w:rFonts w:ascii="Cambria" w:hAnsi="Cambria"/>
          <w:color w:val="000000"/>
        </w:rPr>
        <w:t>regardless of the estimation approach</w:t>
      </w:r>
      <w:r w:rsidR="008801F7">
        <w:rPr>
          <w:rFonts w:ascii="Cambria" w:hAnsi="Cambria"/>
          <w:color w:val="000000"/>
        </w:rPr>
        <w:t xml:space="preserve"> used</w:t>
      </w:r>
      <w:r w:rsidR="00B961B9">
        <w:rPr>
          <w:rFonts w:ascii="Cambria" w:hAnsi="Cambria"/>
          <w:color w:val="000000"/>
        </w:rPr>
        <w:t xml:space="preserve">, </w:t>
      </w:r>
      <w:r w:rsidR="008801F7">
        <w:rPr>
          <w:rFonts w:ascii="Cambria" w:hAnsi="Cambria"/>
          <w:color w:val="000000"/>
        </w:rPr>
        <w:t xml:space="preserve">community college </w:t>
      </w:r>
      <w:r w:rsidR="00B961B9">
        <w:rPr>
          <w:rFonts w:ascii="Cambria" w:hAnsi="Cambria"/>
          <w:color w:val="000000"/>
        </w:rPr>
        <w:t xml:space="preserve">transfers </w:t>
      </w:r>
      <w:r w:rsidR="008801F7">
        <w:rPr>
          <w:rFonts w:ascii="Cambria" w:hAnsi="Cambria"/>
          <w:color w:val="000000"/>
        </w:rPr>
        <w:t xml:space="preserve">had worse UofT outcomes </w:t>
      </w:r>
      <w:r w:rsidR="00B961B9">
        <w:rPr>
          <w:rFonts w:ascii="Cambria" w:hAnsi="Cambria"/>
          <w:color w:val="000000"/>
        </w:rPr>
        <w:t xml:space="preserve">than </w:t>
      </w:r>
      <w:r w:rsidR="008801F7">
        <w:rPr>
          <w:rFonts w:ascii="Cambria" w:hAnsi="Cambria"/>
          <w:color w:val="000000"/>
        </w:rPr>
        <w:t xml:space="preserve">other </w:t>
      </w:r>
      <w:r w:rsidR="00B961B9">
        <w:rPr>
          <w:rFonts w:ascii="Cambria" w:hAnsi="Cambria"/>
          <w:color w:val="000000"/>
        </w:rPr>
        <w:t>students</w:t>
      </w:r>
      <w:r>
        <w:rPr>
          <w:rFonts w:ascii="Cambria" w:hAnsi="Cambria"/>
          <w:color w:val="000000"/>
        </w:rPr>
        <w:t xml:space="preserve">. In other words, those gaps </w:t>
      </w:r>
      <w:r w:rsidR="008801F7">
        <w:rPr>
          <w:rFonts w:ascii="Cambria" w:hAnsi="Cambria"/>
          <w:color w:val="000000"/>
        </w:rPr>
        <w:t xml:space="preserve">cannot be traced solely to their </w:t>
      </w:r>
      <w:r w:rsidR="00984C18">
        <w:rPr>
          <w:rFonts w:ascii="Cambria" w:hAnsi="Cambria"/>
          <w:color w:val="000000"/>
        </w:rPr>
        <w:t>demographics and high school academics</w:t>
      </w:r>
      <w:r w:rsidR="008801F7">
        <w:rPr>
          <w:rFonts w:ascii="Cambria" w:hAnsi="Cambria"/>
          <w:color w:val="000000"/>
        </w:rPr>
        <w:t xml:space="preserve"> profiles</w:t>
      </w:r>
      <w:r w:rsidR="00BB2637">
        <w:rPr>
          <w:rFonts w:ascii="Cambria" w:hAnsi="Cambria"/>
          <w:color w:val="000000"/>
        </w:rPr>
        <w:t xml:space="preserve">.  </w:t>
      </w:r>
      <w:r w:rsidR="008801F7">
        <w:rPr>
          <w:rFonts w:ascii="Cambria" w:hAnsi="Cambria"/>
          <w:color w:val="000000"/>
        </w:rPr>
        <w:t xml:space="preserve">Finally, </w:t>
      </w:r>
      <w:r w:rsidR="003A2989">
        <w:rPr>
          <w:rFonts w:ascii="Cambria" w:hAnsi="Cambria"/>
          <w:color w:val="000000"/>
        </w:rPr>
        <w:t>receiving transfer credits boost</w:t>
      </w:r>
      <w:r w:rsidR="008801F7">
        <w:rPr>
          <w:rFonts w:ascii="Cambria" w:hAnsi="Cambria"/>
          <w:color w:val="000000"/>
        </w:rPr>
        <w:t>ed</w:t>
      </w:r>
      <w:r w:rsidR="003A2989">
        <w:rPr>
          <w:rFonts w:ascii="Cambria" w:hAnsi="Cambria"/>
          <w:color w:val="000000"/>
        </w:rPr>
        <w:t xml:space="preserve"> </w:t>
      </w:r>
      <w:r w:rsidR="008801F7">
        <w:rPr>
          <w:rFonts w:ascii="Cambria" w:hAnsi="Cambria"/>
          <w:color w:val="000000"/>
        </w:rPr>
        <w:t xml:space="preserve">UofT outcomes among all students, </w:t>
      </w:r>
      <w:r w:rsidR="003A2989">
        <w:rPr>
          <w:rFonts w:ascii="Cambria" w:hAnsi="Cambria"/>
          <w:color w:val="000000"/>
        </w:rPr>
        <w:t>direct entry and transfer students alike</w:t>
      </w:r>
      <w:r w:rsidR="008801F7">
        <w:rPr>
          <w:rFonts w:ascii="Cambria" w:hAnsi="Cambria"/>
          <w:color w:val="000000"/>
        </w:rPr>
        <w:t>. Models show that predicted graduation gaps between community college transfers and all other students would be smaller at higher levels of awarded transfer credits.</w:t>
      </w:r>
    </w:p>
    <w:p w14:paraId="6E55ADAB" w14:textId="1B0A0F43" w:rsidR="003A2989" w:rsidRDefault="003A2989" w:rsidP="007D27AB">
      <w:pPr>
        <w:spacing w:after="0"/>
        <w:ind w:left="120"/>
        <w:rPr>
          <w:rFonts w:ascii="Cambria" w:hAnsi="Cambria"/>
          <w:color w:val="000000"/>
        </w:rPr>
      </w:pPr>
    </w:p>
    <w:p w14:paraId="6BF838C1" w14:textId="08BA3EBB" w:rsidR="00DB44BB" w:rsidRPr="00DB44BB" w:rsidRDefault="00DB44BB" w:rsidP="007D27AB">
      <w:pPr>
        <w:spacing w:after="0"/>
        <w:ind w:left="120"/>
        <w:rPr>
          <w:rFonts w:ascii="Cambria" w:hAnsi="Cambria"/>
          <w:b/>
          <w:color w:val="000000"/>
        </w:rPr>
      </w:pPr>
      <w:r w:rsidRPr="00DB44BB">
        <w:rPr>
          <w:rFonts w:ascii="Cambria" w:hAnsi="Cambria"/>
          <w:b/>
          <w:color w:val="000000"/>
        </w:rPr>
        <w:t>Research Question 6: Do transfer credits influence outcomes?</w:t>
      </w:r>
    </w:p>
    <w:p w14:paraId="6F1DEC13" w14:textId="6692A3FE" w:rsidR="006F36BA" w:rsidRDefault="006F36BA" w:rsidP="007D27AB">
      <w:pPr>
        <w:spacing w:after="0"/>
        <w:ind w:left="120"/>
        <w:rPr>
          <w:rFonts w:ascii="Cambria" w:hAnsi="Cambria"/>
        </w:rPr>
      </w:pPr>
      <w:r>
        <w:rPr>
          <w:rFonts w:ascii="Cambria" w:hAnsi="Cambria"/>
        </w:rPr>
        <w:tab/>
        <w:t xml:space="preserve">In </w:t>
      </w:r>
      <w:r w:rsidR="00DB3699">
        <w:rPr>
          <w:rFonts w:ascii="Cambria" w:hAnsi="Cambria"/>
        </w:rPr>
        <w:t>a series of ordinary least squares, Poisson regression and l</w:t>
      </w:r>
      <w:r>
        <w:rPr>
          <w:rFonts w:ascii="Cambria" w:hAnsi="Cambria"/>
        </w:rPr>
        <w:t>ogistic regression models</w:t>
      </w:r>
      <w:r w:rsidR="00DB3699">
        <w:rPr>
          <w:rFonts w:ascii="Cambria" w:hAnsi="Cambria"/>
        </w:rPr>
        <w:t xml:space="preserve"> </w:t>
      </w:r>
      <w:r>
        <w:rPr>
          <w:rFonts w:ascii="Cambria" w:hAnsi="Cambria"/>
        </w:rPr>
        <w:t>not shown</w:t>
      </w:r>
      <w:r w:rsidR="00DB3699">
        <w:rPr>
          <w:rFonts w:ascii="Cambria" w:hAnsi="Cambria"/>
        </w:rPr>
        <w:t xml:space="preserve">, </w:t>
      </w:r>
      <w:r>
        <w:rPr>
          <w:rFonts w:ascii="Cambria" w:hAnsi="Cambria"/>
        </w:rPr>
        <w:t xml:space="preserve">the awarding of transfer credits </w:t>
      </w:r>
      <w:r w:rsidR="00DB3699">
        <w:rPr>
          <w:rFonts w:ascii="Cambria" w:hAnsi="Cambria"/>
        </w:rPr>
        <w:t xml:space="preserve">tended to significantly </w:t>
      </w:r>
      <w:r>
        <w:rPr>
          <w:rFonts w:ascii="Cambria" w:hAnsi="Cambria"/>
        </w:rPr>
        <w:t xml:space="preserve">improve </w:t>
      </w:r>
      <w:r w:rsidR="00DB3699">
        <w:rPr>
          <w:rFonts w:ascii="Cambria" w:hAnsi="Cambria"/>
        </w:rPr>
        <w:t xml:space="preserve">most </w:t>
      </w:r>
      <w:r>
        <w:rPr>
          <w:rFonts w:ascii="Cambria" w:hAnsi="Cambria"/>
        </w:rPr>
        <w:t>university outcomes among all students, whether direct entry or transfers. Controlling for high school grade averages and whether having dropped out of high schools, students with higher numbers of transfer credits had higher graduation rates</w:t>
      </w:r>
      <w:r w:rsidR="00DB3699">
        <w:rPr>
          <w:rFonts w:ascii="Cambria" w:hAnsi="Cambria"/>
        </w:rPr>
        <w:t>, higher CGPAs, and total credits (transfer credits did not boost rates of entry into STEM fields).</w:t>
      </w:r>
    </w:p>
    <w:p w14:paraId="31087DE8" w14:textId="22AA34E5" w:rsidR="006F36BA" w:rsidRDefault="006F36BA" w:rsidP="007D27AB">
      <w:pPr>
        <w:spacing w:after="0"/>
        <w:ind w:left="120"/>
        <w:rPr>
          <w:rFonts w:ascii="Cambria" w:hAnsi="Cambria"/>
        </w:rPr>
      </w:pPr>
    </w:p>
    <w:p w14:paraId="2F25CE50" w14:textId="033BAD8E" w:rsidR="00CF657A" w:rsidRDefault="00DB3699" w:rsidP="00CF657A">
      <w:pPr>
        <w:spacing w:after="0"/>
        <w:ind w:left="120"/>
      </w:pPr>
      <w:r>
        <w:rPr>
          <w:rFonts w:ascii="Cambria" w:hAnsi="Cambria"/>
        </w:rPr>
        <w:tab/>
        <w:t>T</w:t>
      </w:r>
      <w:r w:rsidR="0042478D">
        <w:rPr>
          <w:rFonts w:ascii="Cambria" w:hAnsi="Cambria"/>
        </w:rPr>
        <w:t xml:space="preserve">he final analyses in this report </w:t>
      </w:r>
      <w:r>
        <w:rPr>
          <w:rFonts w:ascii="Cambria" w:hAnsi="Cambria"/>
        </w:rPr>
        <w:t xml:space="preserve">examine impacts of </w:t>
      </w:r>
      <w:r>
        <w:rPr>
          <w:rFonts w:ascii="Cambria" w:hAnsi="Cambria"/>
          <w:color w:val="000000"/>
        </w:rPr>
        <w:t xml:space="preserve">transfer credits on graduation from </w:t>
      </w:r>
      <w:r w:rsidR="0042478D">
        <w:rPr>
          <w:rFonts w:ascii="Cambria" w:hAnsi="Cambria"/>
          <w:color w:val="000000"/>
        </w:rPr>
        <w:t>two</w:t>
      </w:r>
      <w:r>
        <w:rPr>
          <w:rFonts w:ascii="Cambria" w:hAnsi="Cambria"/>
          <w:color w:val="000000"/>
        </w:rPr>
        <w:t xml:space="preserve"> different angle</w:t>
      </w:r>
      <w:r w:rsidR="0042478D">
        <w:rPr>
          <w:rFonts w:ascii="Cambria" w:hAnsi="Cambria"/>
          <w:color w:val="000000"/>
        </w:rPr>
        <w:t>s. First</w:t>
      </w:r>
      <w:r>
        <w:rPr>
          <w:rFonts w:ascii="Cambria" w:hAnsi="Cambria"/>
          <w:color w:val="000000"/>
        </w:rPr>
        <w:t>,</w:t>
      </w:r>
      <w:r w:rsidRPr="00DB3699">
        <w:rPr>
          <w:rFonts w:ascii="Cambria" w:hAnsi="Cambria"/>
          <w:color w:val="000000"/>
        </w:rPr>
        <w:t xml:space="preserve"> </w:t>
      </w:r>
      <w:r>
        <w:rPr>
          <w:rFonts w:ascii="Cambria" w:hAnsi="Cambria"/>
          <w:color w:val="000000"/>
        </w:rPr>
        <w:t xml:space="preserve">the final column of Table 5 adds a measure of transfer credits awarded based on the mean for all students, most of whom are direct entry students. Since that mean number of transfer credits awarded is actually substantially less than the average among postsecondary transfer students, the predicted graduation rate actually declines for all subgroups of transfer students, while remaining the same for direct entry students. This finding illustrates that being awarded larger numbers of transfer credits boosts graduation rates for transfers from postsecondary institutions, since those students’ </w:t>
      </w:r>
      <w:r w:rsidR="0042478D">
        <w:rPr>
          <w:rFonts w:ascii="Cambria" w:hAnsi="Cambria"/>
          <w:color w:val="000000"/>
        </w:rPr>
        <w:t>predicted rates decline if they are granted far fewer credits. Second, models were run that predicted graduation rates for community college transfers and all other students at different levels of transfer credits awarded. Figure 6 shows sizeable gaps in predicted graduation rates</w:t>
      </w:r>
      <w:r w:rsidR="0042478D" w:rsidRPr="0042478D">
        <w:rPr>
          <w:rFonts w:ascii="Cambria" w:hAnsi="Cambria"/>
        </w:rPr>
        <w:t xml:space="preserve"> </w:t>
      </w:r>
      <w:r w:rsidR="0042478D">
        <w:rPr>
          <w:rFonts w:ascii="Cambria" w:hAnsi="Cambria"/>
        </w:rPr>
        <w:t>between community college transfers and other students</w:t>
      </w:r>
      <w:r w:rsidR="0042478D">
        <w:rPr>
          <w:rFonts w:ascii="Cambria" w:hAnsi="Cambria"/>
          <w:color w:val="000000"/>
        </w:rPr>
        <w:t xml:space="preserve"> when both groups are awarded zero transfer credits; the predicted gap is about 30%. However, at 6 and 12 credits awarded, those </w:t>
      </w:r>
      <w:r w:rsidR="006F36BA">
        <w:rPr>
          <w:rFonts w:ascii="Cambria" w:hAnsi="Cambria"/>
        </w:rPr>
        <w:t>gaps</w:t>
      </w:r>
      <w:r w:rsidR="0042478D">
        <w:rPr>
          <w:rFonts w:ascii="Cambria" w:hAnsi="Cambria"/>
        </w:rPr>
        <w:t xml:space="preserve"> shrink to about 20% and 10%, respectively</w:t>
      </w:r>
      <w:r w:rsidR="006F36BA">
        <w:rPr>
          <w:rFonts w:ascii="Cambria" w:hAnsi="Cambria"/>
        </w:rPr>
        <w:t>.</w:t>
      </w:r>
      <w:r w:rsidR="0042478D">
        <w:rPr>
          <w:rFonts w:ascii="Cambria" w:hAnsi="Cambria"/>
        </w:rPr>
        <w:t xml:space="preserve"> Indeed, the predicted graduation rate for community college transfers rises by about 25% if they awarded credits rise from 0 to 12, all other covariates held at their mean.  Overall, </w:t>
      </w:r>
      <w:r w:rsidR="005A6CD9">
        <w:rPr>
          <w:rFonts w:ascii="Cambria" w:hAnsi="Cambria"/>
        </w:rPr>
        <w:t xml:space="preserve">these various analyses strongly suggest that being </w:t>
      </w:r>
      <w:r w:rsidR="00CF657A">
        <w:rPr>
          <w:rFonts w:ascii="Cambria" w:hAnsi="Cambria"/>
          <w:color w:val="000000"/>
        </w:rPr>
        <w:t>awarded higher numbers of transfer credits</w:t>
      </w:r>
      <w:r w:rsidR="005A6CD9">
        <w:rPr>
          <w:rFonts w:ascii="Cambria" w:hAnsi="Cambria"/>
          <w:color w:val="000000"/>
        </w:rPr>
        <w:t xml:space="preserve"> can improve university outcomes for transfer students, and could help those from community colleges narrow gaps between themselves and their peers</w:t>
      </w:r>
      <w:r w:rsidR="00CF657A">
        <w:rPr>
          <w:rFonts w:ascii="Cambria" w:hAnsi="Cambria"/>
          <w:color w:val="000000"/>
        </w:rPr>
        <w:t>.</w:t>
      </w:r>
    </w:p>
    <w:p w14:paraId="4A0B50C1" w14:textId="77777777" w:rsidR="00CF657A" w:rsidRDefault="00CF657A" w:rsidP="007D27AB">
      <w:pPr>
        <w:spacing w:after="0"/>
        <w:ind w:left="120"/>
        <w:rPr>
          <w:rFonts w:ascii="Cambria" w:hAnsi="Cambria"/>
          <w:color w:val="000000"/>
        </w:rPr>
      </w:pPr>
    </w:p>
    <w:p w14:paraId="78CC0A87" w14:textId="77777777" w:rsidR="00DD2B36" w:rsidRDefault="009238FB" w:rsidP="00DD2B36">
      <w:pPr>
        <w:spacing w:after="0"/>
        <w:ind w:left="120"/>
        <w:jc w:val="center"/>
        <w:rPr>
          <w:rFonts w:ascii="Cambria" w:hAnsi="Cambria"/>
          <w:b/>
          <w:color w:val="000000"/>
        </w:rPr>
      </w:pPr>
      <w:r>
        <w:rPr>
          <w:rFonts w:ascii="Cambria" w:hAnsi="Cambria"/>
          <w:b/>
          <w:color w:val="000000"/>
        </w:rPr>
        <w:lastRenderedPageBreak/>
        <w:t>Summary</w:t>
      </w:r>
      <w:r w:rsidR="00DD2B36">
        <w:rPr>
          <w:rFonts w:ascii="Cambria" w:hAnsi="Cambria"/>
          <w:b/>
          <w:color w:val="000000"/>
        </w:rPr>
        <w:t xml:space="preserve"> and</w:t>
      </w:r>
      <w:r>
        <w:rPr>
          <w:rFonts w:ascii="Cambria" w:hAnsi="Cambria"/>
          <w:b/>
          <w:color w:val="000000"/>
        </w:rPr>
        <w:t xml:space="preserve"> Discussion</w:t>
      </w:r>
    </w:p>
    <w:p w14:paraId="46BCDF0B" w14:textId="224CEF9C" w:rsidR="00F14699" w:rsidRDefault="00740C39">
      <w:pPr>
        <w:spacing w:after="0"/>
        <w:ind w:left="120"/>
      </w:pPr>
      <w:r>
        <w:rPr>
          <w:rFonts w:ascii="Cambria" w:hAnsi="Cambria"/>
          <w:color w:val="000000"/>
        </w:rPr>
        <w:tab/>
        <w:t>This</w:t>
      </w:r>
      <w:r w:rsidR="00EC5EE6">
        <w:rPr>
          <w:rFonts w:ascii="Cambria" w:hAnsi="Cambria"/>
          <w:color w:val="000000"/>
        </w:rPr>
        <w:t xml:space="preserve"> </w:t>
      </w:r>
      <w:r w:rsidR="002C6E43">
        <w:rPr>
          <w:rFonts w:ascii="Cambria" w:hAnsi="Cambria"/>
          <w:color w:val="000000"/>
        </w:rPr>
        <w:t xml:space="preserve">study reports </w:t>
      </w:r>
      <w:r w:rsidR="00DB44BB">
        <w:rPr>
          <w:rFonts w:ascii="Cambria" w:hAnsi="Cambria"/>
          <w:color w:val="000000"/>
        </w:rPr>
        <w:t xml:space="preserve">6 </w:t>
      </w:r>
      <w:r w:rsidR="00EC5EE6">
        <w:rPr>
          <w:rFonts w:ascii="Cambria" w:hAnsi="Cambria"/>
          <w:color w:val="000000"/>
        </w:rPr>
        <w:t>major findings</w:t>
      </w:r>
      <w:r w:rsidR="009238FB">
        <w:rPr>
          <w:rFonts w:ascii="Cambria" w:hAnsi="Cambria"/>
          <w:color w:val="000000"/>
        </w:rPr>
        <w:t>:</w:t>
      </w:r>
    </w:p>
    <w:p w14:paraId="45C902B2" w14:textId="062A8147" w:rsidR="002C6E43" w:rsidRPr="00385E6B" w:rsidRDefault="00DB44BB" w:rsidP="006F36BA">
      <w:pPr>
        <w:spacing w:after="0"/>
      </w:pPr>
      <w:r>
        <w:rPr>
          <w:rFonts w:ascii="Cambria" w:hAnsi="Cambria"/>
          <w:color w:val="000000"/>
        </w:rPr>
        <w:t xml:space="preserve">1) </w:t>
      </w:r>
      <w:r w:rsidR="009238FB">
        <w:rPr>
          <w:rFonts w:ascii="Cambria" w:hAnsi="Cambria"/>
          <w:color w:val="000000"/>
        </w:rPr>
        <w:t xml:space="preserve">About </w:t>
      </w:r>
      <w:r w:rsidR="005961ED">
        <w:rPr>
          <w:rFonts w:ascii="Cambria" w:hAnsi="Cambria"/>
          <w:color w:val="000000"/>
        </w:rPr>
        <w:t>1.6</w:t>
      </w:r>
      <w:r w:rsidR="009238FB">
        <w:rPr>
          <w:rFonts w:ascii="Cambria" w:hAnsi="Cambria"/>
          <w:color w:val="000000"/>
        </w:rPr>
        <w:t>% of undergrad</w:t>
      </w:r>
      <w:r w:rsidR="002C6E43">
        <w:rPr>
          <w:rFonts w:ascii="Cambria" w:hAnsi="Cambria"/>
          <w:color w:val="000000"/>
        </w:rPr>
        <w:t>s</w:t>
      </w:r>
      <w:r w:rsidR="009238FB">
        <w:rPr>
          <w:rFonts w:ascii="Cambria" w:hAnsi="Cambria"/>
          <w:color w:val="000000"/>
        </w:rPr>
        <w:t xml:space="preserve"> in the </w:t>
      </w:r>
      <w:r w:rsidR="002C6E43">
        <w:rPr>
          <w:rFonts w:ascii="Cambria" w:hAnsi="Cambria"/>
          <w:color w:val="000000"/>
        </w:rPr>
        <w:t xml:space="preserve">TDSB-UofT </w:t>
      </w:r>
      <w:r w:rsidR="00EC5EE6">
        <w:rPr>
          <w:rFonts w:ascii="Cambria" w:hAnsi="Cambria"/>
          <w:color w:val="000000"/>
        </w:rPr>
        <w:t xml:space="preserve">pathway </w:t>
      </w:r>
      <w:r w:rsidR="009238FB">
        <w:rPr>
          <w:rFonts w:ascii="Cambria" w:hAnsi="Cambria"/>
          <w:color w:val="000000"/>
        </w:rPr>
        <w:t>were transfer</w:t>
      </w:r>
      <w:r>
        <w:rPr>
          <w:rFonts w:ascii="Cambria" w:hAnsi="Cambria"/>
          <w:color w:val="000000"/>
        </w:rPr>
        <w:t xml:space="preserve"> </w:t>
      </w:r>
      <w:r w:rsidR="009238FB">
        <w:rPr>
          <w:rFonts w:ascii="Cambria" w:hAnsi="Cambria"/>
          <w:color w:val="000000"/>
        </w:rPr>
        <w:t>s</w:t>
      </w:r>
      <w:r>
        <w:rPr>
          <w:rFonts w:ascii="Cambria" w:hAnsi="Cambria"/>
          <w:color w:val="000000"/>
        </w:rPr>
        <w:t xml:space="preserve">tudents from other postsecondary institutions. </w:t>
      </w:r>
      <w:r w:rsidR="00984C18">
        <w:rPr>
          <w:rFonts w:ascii="Cambria" w:hAnsi="Cambria"/>
          <w:color w:val="000000"/>
        </w:rPr>
        <w:t xml:space="preserve">Almost </w:t>
      </w:r>
      <w:r w:rsidR="005961ED">
        <w:rPr>
          <w:rFonts w:ascii="Cambria" w:hAnsi="Cambria"/>
          <w:color w:val="000000"/>
        </w:rPr>
        <w:t>44</w:t>
      </w:r>
      <w:r w:rsidR="00EC5EE6">
        <w:rPr>
          <w:rFonts w:ascii="Cambria" w:hAnsi="Cambria"/>
          <w:color w:val="000000"/>
        </w:rPr>
        <w:t>% of tho</w:t>
      </w:r>
      <w:r w:rsidR="009238FB">
        <w:rPr>
          <w:rFonts w:ascii="Cambria" w:hAnsi="Cambria"/>
          <w:color w:val="000000"/>
        </w:rPr>
        <w:t>se transfer</w:t>
      </w:r>
      <w:r w:rsidR="002C6E43">
        <w:rPr>
          <w:rFonts w:ascii="Cambria" w:hAnsi="Cambria"/>
          <w:color w:val="000000"/>
        </w:rPr>
        <w:t xml:space="preserve">s </w:t>
      </w:r>
      <w:r w:rsidR="005076A1">
        <w:rPr>
          <w:rFonts w:ascii="Cambria" w:hAnsi="Cambria"/>
          <w:color w:val="000000"/>
        </w:rPr>
        <w:t xml:space="preserve">were </w:t>
      </w:r>
      <w:r w:rsidR="009238FB">
        <w:rPr>
          <w:rFonts w:ascii="Cambria" w:hAnsi="Cambria"/>
          <w:color w:val="000000"/>
        </w:rPr>
        <w:t>from Ontario universit</w:t>
      </w:r>
      <w:r w:rsidR="005076A1">
        <w:rPr>
          <w:rFonts w:ascii="Cambria" w:hAnsi="Cambria"/>
          <w:color w:val="000000"/>
        </w:rPr>
        <w:t>ies,</w:t>
      </w:r>
      <w:r w:rsidR="005961ED">
        <w:rPr>
          <w:rFonts w:ascii="Cambria" w:hAnsi="Cambria"/>
          <w:color w:val="000000"/>
        </w:rPr>
        <w:t xml:space="preserve"> 28%</w:t>
      </w:r>
      <w:r w:rsidR="009238FB">
        <w:rPr>
          <w:rFonts w:ascii="Cambria" w:hAnsi="Cambria"/>
          <w:color w:val="000000"/>
        </w:rPr>
        <w:t xml:space="preserve"> </w:t>
      </w:r>
      <w:r w:rsidR="005076A1">
        <w:rPr>
          <w:rFonts w:ascii="Cambria" w:hAnsi="Cambria"/>
          <w:color w:val="000000"/>
        </w:rPr>
        <w:t>were</w:t>
      </w:r>
      <w:r w:rsidR="009238FB">
        <w:rPr>
          <w:rFonts w:ascii="Cambria" w:hAnsi="Cambria"/>
          <w:color w:val="000000"/>
        </w:rPr>
        <w:t xml:space="preserve"> fro</w:t>
      </w:r>
      <w:r w:rsidR="005076A1">
        <w:rPr>
          <w:rFonts w:ascii="Cambria" w:hAnsi="Cambria"/>
          <w:color w:val="000000"/>
        </w:rPr>
        <w:t>m</w:t>
      </w:r>
      <w:r w:rsidR="009238FB">
        <w:rPr>
          <w:rFonts w:ascii="Cambria" w:hAnsi="Cambria"/>
          <w:color w:val="000000"/>
        </w:rPr>
        <w:t xml:space="preserve"> Ontario Community College</w:t>
      </w:r>
      <w:r w:rsidR="005076A1">
        <w:rPr>
          <w:rFonts w:ascii="Cambria" w:hAnsi="Cambria"/>
          <w:color w:val="000000"/>
        </w:rPr>
        <w:t>s</w:t>
      </w:r>
      <w:r w:rsidR="009238FB">
        <w:rPr>
          <w:rFonts w:ascii="Cambria" w:hAnsi="Cambria"/>
          <w:color w:val="000000"/>
        </w:rPr>
        <w:t>,</w:t>
      </w:r>
      <w:r w:rsidR="00EC5EE6">
        <w:rPr>
          <w:rFonts w:ascii="Cambria" w:hAnsi="Cambria"/>
          <w:color w:val="000000"/>
        </w:rPr>
        <w:t xml:space="preserve"> </w:t>
      </w:r>
      <w:r w:rsidR="002C6E43">
        <w:rPr>
          <w:rFonts w:ascii="Cambria" w:hAnsi="Cambria"/>
          <w:color w:val="000000"/>
        </w:rPr>
        <w:t xml:space="preserve">and </w:t>
      </w:r>
      <w:r w:rsidR="00EC5EE6">
        <w:rPr>
          <w:rFonts w:ascii="Cambria" w:hAnsi="Cambria"/>
          <w:color w:val="000000"/>
        </w:rPr>
        <w:t xml:space="preserve">the remaining </w:t>
      </w:r>
      <w:r w:rsidR="005961ED">
        <w:rPr>
          <w:rFonts w:ascii="Cambria" w:hAnsi="Cambria"/>
          <w:color w:val="000000"/>
        </w:rPr>
        <w:t>28</w:t>
      </w:r>
      <w:r w:rsidR="00EC5EE6">
        <w:rPr>
          <w:rFonts w:ascii="Cambria" w:hAnsi="Cambria"/>
          <w:color w:val="000000"/>
        </w:rPr>
        <w:t xml:space="preserve">% </w:t>
      </w:r>
      <w:r w:rsidR="002C6E43">
        <w:rPr>
          <w:rFonts w:ascii="Cambria" w:hAnsi="Cambria"/>
          <w:color w:val="000000"/>
        </w:rPr>
        <w:t xml:space="preserve">were </w:t>
      </w:r>
      <w:r w:rsidR="005076A1">
        <w:rPr>
          <w:rFonts w:ascii="Cambria" w:hAnsi="Cambria"/>
          <w:color w:val="000000"/>
        </w:rPr>
        <w:t xml:space="preserve">from </w:t>
      </w:r>
      <w:r w:rsidR="002C6E43">
        <w:rPr>
          <w:rFonts w:ascii="Cambria" w:hAnsi="Cambria"/>
          <w:color w:val="000000"/>
        </w:rPr>
        <w:t xml:space="preserve">other Canadian </w:t>
      </w:r>
      <w:r w:rsidR="009238FB">
        <w:rPr>
          <w:rFonts w:ascii="Cambria" w:hAnsi="Cambria"/>
          <w:color w:val="000000"/>
        </w:rPr>
        <w:t>universities</w:t>
      </w:r>
      <w:r w:rsidR="002C6E43">
        <w:rPr>
          <w:rFonts w:ascii="Cambria" w:hAnsi="Cambria"/>
          <w:color w:val="000000"/>
        </w:rPr>
        <w:t>, i</w:t>
      </w:r>
      <w:r w:rsidR="009238FB">
        <w:rPr>
          <w:rFonts w:ascii="Cambria" w:hAnsi="Cambria"/>
          <w:color w:val="000000"/>
        </w:rPr>
        <w:t>nternational universities</w:t>
      </w:r>
      <w:r w:rsidR="002C6E43">
        <w:rPr>
          <w:rFonts w:ascii="Cambria" w:hAnsi="Cambria"/>
          <w:color w:val="000000"/>
        </w:rPr>
        <w:t xml:space="preserve"> and private career colleges</w:t>
      </w:r>
    </w:p>
    <w:p w14:paraId="73139395" w14:textId="1A23AA25" w:rsidR="00F14699" w:rsidRPr="00C0107D" w:rsidRDefault="00DB44BB" w:rsidP="006F36BA">
      <w:pPr>
        <w:spacing w:after="0"/>
      </w:pPr>
      <w:r>
        <w:rPr>
          <w:rFonts w:ascii="Cambria" w:hAnsi="Cambria"/>
          <w:color w:val="000000"/>
        </w:rPr>
        <w:t xml:space="preserve">2) </w:t>
      </w:r>
      <w:r w:rsidR="002C6E43">
        <w:rPr>
          <w:rFonts w:ascii="Cambria" w:hAnsi="Cambria"/>
          <w:color w:val="000000"/>
        </w:rPr>
        <w:t xml:space="preserve">Transfers were largely </w:t>
      </w:r>
      <w:r w:rsidR="005076A1">
        <w:rPr>
          <w:rFonts w:ascii="Cambria" w:hAnsi="Cambria"/>
          <w:color w:val="000000"/>
        </w:rPr>
        <w:t xml:space="preserve">local; </w:t>
      </w:r>
      <w:r w:rsidR="00EC5EE6">
        <w:rPr>
          <w:rFonts w:ascii="Cambria" w:hAnsi="Cambria"/>
          <w:color w:val="000000"/>
        </w:rPr>
        <w:t xml:space="preserve">about </w:t>
      </w:r>
      <w:r w:rsidR="005961ED">
        <w:rPr>
          <w:rFonts w:ascii="Cambria" w:hAnsi="Cambria"/>
          <w:color w:val="000000"/>
        </w:rPr>
        <w:t xml:space="preserve">1/3 of university transfers </w:t>
      </w:r>
      <w:r w:rsidR="005076A1">
        <w:rPr>
          <w:rFonts w:ascii="Cambria" w:hAnsi="Cambria"/>
          <w:color w:val="000000"/>
        </w:rPr>
        <w:t>were from i</w:t>
      </w:r>
      <w:r w:rsidR="00EC5EE6">
        <w:rPr>
          <w:rFonts w:ascii="Cambria" w:hAnsi="Cambria"/>
          <w:color w:val="000000"/>
        </w:rPr>
        <w:t xml:space="preserve">nstitutions </w:t>
      </w:r>
      <w:r w:rsidR="002C6E43">
        <w:rPr>
          <w:rFonts w:ascii="Cambria" w:hAnsi="Cambria"/>
          <w:color w:val="000000"/>
        </w:rPr>
        <w:t xml:space="preserve">in </w:t>
      </w:r>
      <w:r w:rsidR="00EC5EE6">
        <w:rPr>
          <w:rFonts w:ascii="Cambria" w:hAnsi="Cambria"/>
          <w:color w:val="000000"/>
        </w:rPr>
        <w:t>Toronto</w:t>
      </w:r>
      <w:r w:rsidR="005961ED">
        <w:rPr>
          <w:rFonts w:ascii="Cambria" w:hAnsi="Cambria"/>
          <w:color w:val="000000"/>
        </w:rPr>
        <w:t xml:space="preserve"> and most of the remainder were in Southern Ontario; almost all community college transfers were from Toronto-based institutions</w:t>
      </w:r>
    </w:p>
    <w:p w14:paraId="0746B292" w14:textId="251A30F5" w:rsidR="00BE03F1" w:rsidRDefault="00BE03F1" w:rsidP="006F36BA">
      <w:pPr>
        <w:spacing w:after="0"/>
        <w:rPr>
          <w:rFonts w:ascii="Cambria" w:hAnsi="Cambria"/>
        </w:rPr>
      </w:pPr>
      <w:r>
        <w:rPr>
          <w:rFonts w:ascii="Cambria" w:hAnsi="Cambria"/>
        </w:rPr>
        <w:t xml:space="preserve">3) </w:t>
      </w:r>
      <w:r w:rsidRPr="00385E6B">
        <w:rPr>
          <w:rFonts w:ascii="Cambria" w:hAnsi="Cambria"/>
        </w:rPr>
        <w:t xml:space="preserve">In aggregate, transfer students differed significantly from direct entry students on an array of demographic measures, and </w:t>
      </w:r>
      <w:r>
        <w:rPr>
          <w:rFonts w:ascii="Cambria" w:hAnsi="Cambria"/>
        </w:rPr>
        <w:t xml:space="preserve">had somewhat </w:t>
      </w:r>
      <w:r w:rsidRPr="00385E6B">
        <w:rPr>
          <w:rFonts w:ascii="Cambria" w:hAnsi="Cambria"/>
        </w:rPr>
        <w:t xml:space="preserve">worse </w:t>
      </w:r>
      <w:r>
        <w:rPr>
          <w:rFonts w:ascii="Cambria" w:hAnsi="Cambria"/>
        </w:rPr>
        <w:t xml:space="preserve">high school academic </w:t>
      </w:r>
      <w:r w:rsidRPr="00385E6B">
        <w:rPr>
          <w:rFonts w:ascii="Cambria" w:hAnsi="Cambria"/>
        </w:rPr>
        <w:t>records</w:t>
      </w:r>
      <w:r>
        <w:rPr>
          <w:rFonts w:ascii="Cambria" w:hAnsi="Cambria"/>
        </w:rPr>
        <w:t>, the latter most pronounced among transfers from Ontario community colleges</w:t>
      </w:r>
    </w:p>
    <w:p w14:paraId="587666BF" w14:textId="5E41F0F3" w:rsidR="00C0107D" w:rsidRPr="00C0107D" w:rsidRDefault="006F36BA" w:rsidP="006F36BA">
      <w:pPr>
        <w:spacing w:after="0"/>
        <w:rPr>
          <w:rFonts w:ascii="Cambria" w:hAnsi="Cambria"/>
        </w:rPr>
      </w:pPr>
      <w:r>
        <w:rPr>
          <w:rFonts w:ascii="Cambria" w:hAnsi="Cambria"/>
        </w:rPr>
        <w:t xml:space="preserve">4) </w:t>
      </w:r>
      <w:r w:rsidR="00C0107D" w:rsidRPr="00C0107D">
        <w:rPr>
          <w:rFonts w:ascii="Cambria" w:hAnsi="Cambria"/>
        </w:rPr>
        <w:t xml:space="preserve">Almost all transfer students from </w:t>
      </w:r>
      <w:r w:rsidR="00C0107D">
        <w:rPr>
          <w:rFonts w:ascii="Cambria" w:hAnsi="Cambria"/>
        </w:rPr>
        <w:t xml:space="preserve">Ontario universities and other Canadian universities were awarded transfer credits at UofT; most transfers from Ontario community colleges also received credits, though fewer than average compared to their university counterparts  </w:t>
      </w:r>
    </w:p>
    <w:p w14:paraId="6E6183E6" w14:textId="477CB41B" w:rsidR="009A6285" w:rsidRPr="00385E6B" w:rsidRDefault="006F36BA" w:rsidP="006F36BA">
      <w:pPr>
        <w:spacing w:after="0"/>
        <w:rPr>
          <w:rFonts w:ascii="Cambria" w:hAnsi="Cambria"/>
        </w:rPr>
      </w:pPr>
      <w:r>
        <w:rPr>
          <w:rFonts w:ascii="Cambria" w:hAnsi="Cambria"/>
        </w:rPr>
        <w:t>5) Outcomes at UofT among t</w:t>
      </w:r>
      <w:r w:rsidR="008801F7">
        <w:rPr>
          <w:rFonts w:ascii="Cambria" w:hAnsi="Cambria"/>
        </w:rPr>
        <w:t>ransfer</w:t>
      </w:r>
      <w:r>
        <w:rPr>
          <w:rFonts w:ascii="Cambria" w:hAnsi="Cambria"/>
        </w:rPr>
        <w:t>s</w:t>
      </w:r>
      <w:r w:rsidR="008801F7">
        <w:rPr>
          <w:rFonts w:ascii="Cambria" w:hAnsi="Cambria"/>
        </w:rPr>
        <w:t xml:space="preserve"> from universities were similar to direct entry students except that the former had significantly lower rates of entering </w:t>
      </w:r>
      <w:r w:rsidR="00C0107D" w:rsidRPr="002C6E43">
        <w:rPr>
          <w:rFonts w:ascii="Cambria" w:hAnsi="Cambria"/>
          <w:color w:val="000000"/>
        </w:rPr>
        <w:t xml:space="preserve">STEM </w:t>
      </w:r>
      <w:r w:rsidR="008801F7">
        <w:rPr>
          <w:rFonts w:ascii="Cambria" w:hAnsi="Cambria"/>
          <w:color w:val="000000"/>
        </w:rPr>
        <w:t>fields</w:t>
      </w:r>
      <w:r>
        <w:rPr>
          <w:rFonts w:ascii="Cambria" w:hAnsi="Cambria"/>
          <w:color w:val="000000"/>
        </w:rPr>
        <w:t>; t</w:t>
      </w:r>
      <w:r w:rsidR="008801F7">
        <w:rPr>
          <w:rFonts w:ascii="Cambria" w:hAnsi="Cambria"/>
          <w:color w:val="000000"/>
        </w:rPr>
        <w:t>ransfers from Ontario community colleges also had significantly worse outcomes in total credits earned</w:t>
      </w:r>
      <w:r w:rsidR="00C0107D" w:rsidRPr="002C6E43">
        <w:rPr>
          <w:rFonts w:ascii="Cambria" w:hAnsi="Cambria"/>
          <w:color w:val="000000"/>
        </w:rPr>
        <w:t xml:space="preserve"> and graduation rates</w:t>
      </w:r>
      <w:r w:rsidR="008801F7">
        <w:rPr>
          <w:rFonts w:ascii="Cambria" w:hAnsi="Cambria"/>
          <w:color w:val="000000"/>
        </w:rPr>
        <w:t>; only slightly more than half of college</w:t>
      </w:r>
      <w:r w:rsidR="00C0107D" w:rsidRPr="002C6E43">
        <w:rPr>
          <w:rFonts w:ascii="Cambria" w:hAnsi="Cambria"/>
          <w:color w:val="000000"/>
        </w:rPr>
        <w:t xml:space="preserve"> transfer</w:t>
      </w:r>
      <w:r w:rsidR="00C0107D">
        <w:rPr>
          <w:rFonts w:ascii="Cambria" w:hAnsi="Cambria"/>
          <w:color w:val="000000"/>
        </w:rPr>
        <w:t>s</w:t>
      </w:r>
      <w:r w:rsidR="00C0107D" w:rsidRPr="002C6E43">
        <w:rPr>
          <w:rFonts w:ascii="Cambria" w:hAnsi="Cambria"/>
          <w:color w:val="000000"/>
        </w:rPr>
        <w:t xml:space="preserve"> </w:t>
      </w:r>
      <w:r w:rsidR="008801F7">
        <w:rPr>
          <w:rFonts w:ascii="Cambria" w:hAnsi="Cambria"/>
          <w:color w:val="000000"/>
        </w:rPr>
        <w:t>graduated.</w:t>
      </w:r>
      <w:r>
        <w:rPr>
          <w:rFonts w:ascii="Cambria" w:hAnsi="Cambria"/>
        </w:rPr>
        <w:t xml:space="preserve"> </w:t>
      </w:r>
      <w:r w:rsidR="00C0107D">
        <w:rPr>
          <w:rFonts w:ascii="Cambria" w:hAnsi="Cambria"/>
        </w:rPr>
        <w:t>Multivariate analyses s</w:t>
      </w:r>
      <w:r w:rsidR="00CA56AB">
        <w:rPr>
          <w:rFonts w:ascii="Cambria" w:hAnsi="Cambria"/>
        </w:rPr>
        <w:t xml:space="preserve">uggest that community college </w:t>
      </w:r>
      <w:r w:rsidR="009A6285" w:rsidRPr="00385E6B">
        <w:rPr>
          <w:rFonts w:ascii="Cambria" w:hAnsi="Cambria"/>
        </w:rPr>
        <w:t>transfer</w:t>
      </w:r>
      <w:r w:rsidR="00CA56AB">
        <w:rPr>
          <w:rFonts w:ascii="Cambria" w:hAnsi="Cambria"/>
        </w:rPr>
        <w:t>s’ markedly lower graduation rates at UofT were partly due to their humbler</w:t>
      </w:r>
      <w:r w:rsidR="005961ED">
        <w:rPr>
          <w:rFonts w:ascii="Cambria" w:hAnsi="Cambria"/>
        </w:rPr>
        <w:t xml:space="preserve"> high school </w:t>
      </w:r>
      <w:r w:rsidR="00C0107D">
        <w:rPr>
          <w:rFonts w:ascii="Cambria" w:hAnsi="Cambria"/>
        </w:rPr>
        <w:t>academic records</w:t>
      </w:r>
      <w:r>
        <w:rPr>
          <w:rFonts w:ascii="Cambria" w:hAnsi="Cambria"/>
        </w:rPr>
        <w:t>.</w:t>
      </w:r>
    </w:p>
    <w:p w14:paraId="30D2A375" w14:textId="5FDDE864" w:rsidR="0083515E" w:rsidRPr="00385E6B" w:rsidRDefault="006F36BA" w:rsidP="006F36BA">
      <w:pPr>
        <w:spacing w:after="0"/>
        <w:rPr>
          <w:rFonts w:ascii="Cambria" w:hAnsi="Cambria"/>
        </w:rPr>
      </w:pPr>
      <w:r>
        <w:rPr>
          <w:rFonts w:ascii="Cambria" w:hAnsi="Cambria"/>
        </w:rPr>
        <w:t xml:space="preserve">6) </w:t>
      </w:r>
      <w:r w:rsidR="00CA56AB">
        <w:rPr>
          <w:rFonts w:ascii="Cambria" w:hAnsi="Cambria"/>
        </w:rPr>
        <w:t xml:space="preserve">The awarding of </w:t>
      </w:r>
      <w:r w:rsidR="0083515E">
        <w:rPr>
          <w:rFonts w:ascii="Cambria" w:hAnsi="Cambria"/>
        </w:rPr>
        <w:t>transfer credits improve</w:t>
      </w:r>
      <w:r w:rsidR="00CA56AB">
        <w:rPr>
          <w:rFonts w:ascii="Cambria" w:hAnsi="Cambria"/>
        </w:rPr>
        <w:t>d</w:t>
      </w:r>
      <w:r w:rsidR="0083515E">
        <w:rPr>
          <w:rFonts w:ascii="Cambria" w:hAnsi="Cambria"/>
        </w:rPr>
        <w:t xml:space="preserve"> university outcomes among </w:t>
      </w:r>
      <w:r w:rsidR="00CA56AB">
        <w:rPr>
          <w:rFonts w:ascii="Cambria" w:hAnsi="Cambria"/>
        </w:rPr>
        <w:t xml:space="preserve">all students; prediction models suggested that higher numbers of transfer credits </w:t>
      </w:r>
      <w:r>
        <w:rPr>
          <w:rFonts w:ascii="Cambria" w:hAnsi="Cambria"/>
        </w:rPr>
        <w:t>w</w:t>
      </w:r>
      <w:r w:rsidR="00CA56AB">
        <w:rPr>
          <w:rFonts w:ascii="Cambria" w:hAnsi="Cambria"/>
        </w:rPr>
        <w:t xml:space="preserve">ould narrow graduation gaps between community college transfers and other </w:t>
      </w:r>
      <w:r w:rsidR="0083515E">
        <w:rPr>
          <w:rFonts w:ascii="Cambria" w:hAnsi="Cambria"/>
        </w:rPr>
        <w:t>students</w:t>
      </w:r>
      <w:r>
        <w:rPr>
          <w:rFonts w:ascii="Cambria" w:hAnsi="Cambria"/>
        </w:rPr>
        <w:t>.</w:t>
      </w:r>
    </w:p>
    <w:p w14:paraId="34D28F63" w14:textId="77777777" w:rsidR="00F14699" w:rsidRDefault="009238FB">
      <w:pPr>
        <w:spacing w:after="0"/>
        <w:ind w:left="120"/>
      </w:pPr>
      <w:r w:rsidRPr="002C6E43">
        <w:rPr>
          <w:rFonts w:ascii="Cambria" w:hAnsi="Cambria"/>
          <w:color w:val="000000"/>
        </w:rPr>
        <w:t> </w:t>
      </w:r>
    </w:p>
    <w:p w14:paraId="0CD39026" w14:textId="1617A2C8" w:rsidR="007E6F9B" w:rsidRDefault="00976771" w:rsidP="007E6F9B">
      <w:pPr>
        <w:spacing w:after="0"/>
        <w:ind w:left="120"/>
        <w:jc w:val="center"/>
        <w:rPr>
          <w:rFonts w:ascii="Cambria" w:hAnsi="Cambria"/>
          <w:color w:val="000000"/>
        </w:rPr>
      </w:pPr>
      <w:r>
        <w:rPr>
          <w:rFonts w:ascii="Cambria" w:hAnsi="Cambria"/>
          <w:b/>
          <w:color w:val="000000"/>
        </w:rPr>
        <w:t>Discussion</w:t>
      </w:r>
      <w:r w:rsidR="007E6F9B">
        <w:rPr>
          <w:rFonts w:ascii="Cambria" w:hAnsi="Cambria"/>
          <w:b/>
          <w:color w:val="000000"/>
        </w:rPr>
        <w:t>:</w:t>
      </w:r>
      <w:r>
        <w:rPr>
          <w:rFonts w:ascii="Cambria" w:hAnsi="Cambria"/>
          <w:b/>
          <w:color w:val="000000"/>
        </w:rPr>
        <w:t xml:space="preserve"> </w:t>
      </w:r>
      <w:r w:rsidR="00CA56AB">
        <w:rPr>
          <w:rFonts w:ascii="Cambria" w:hAnsi="Cambria"/>
          <w:b/>
          <w:color w:val="000000"/>
        </w:rPr>
        <w:t>Comparing Findings Across Data Sets</w:t>
      </w:r>
    </w:p>
    <w:p w14:paraId="1388DD3C" w14:textId="1F7CE82E" w:rsidR="005A6CD9" w:rsidRDefault="005A6CD9" w:rsidP="005A6CD9">
      <w:pPr>
        <w:spacing w:after="0"/>
        <w:ind w:left="120"/>
        <w:rPr>
          <w:rFonts w:ascii="Cambria" w:hAnsi="Cambria"/>
          <w:color w:val="000000"/>
        </w:rPr>
      </w:pPr>
      <w:r>
        <w:rPr>
          <w:rFonts w:ascii="Cambria" w:hAnsi="Cambria"/>
          <w:color w:val="000000"/>
        </w:rPr>
        <w:tab/>
        <w:t xml:space="preserve">A new source of information provided in the current study were flags for whether or not students received transfer credits at UofT, along with a measure of the number of credits awarded. The flag showed that 84% of postsecondary transfers were awarded such credits, while 13% of direct entry students received them.  Many of the latter received credits for International Baccalaureate courses and Advanced Placement courses.  Both groups of students – postsecondary transfers and direct entry – enjoyed boosts when awarded transfer credits. Controlling for high school grades, both direct entry and transfer students who were awarded transfer credits had higher CGPAs and graduation rates. Importantly, multivariate models suggested greater numbers of credits awarded could narrow graduation gaps between transfers from Ontario community colleges and all other students.  </w:t>
      </w:r>
      <w:r w:rsidR="00EA5274">
        <w:rPr>
          <w:rFonts w:ascii="Cambria" w:hAnsi="Cambria"/>
          <w:color w:val="000000"/>
        </w:rPr>
        <w:t>Thus, the new study confirmed the previous study’s speculation that transfer student outcomes were likely hindered if they were not awarded sufficient credits for their course work completed at their previous institutions.</w:t>
      </w:r>
    </w:p>
    <w:p w14:paraId="6DD78CDE" w14:textId="77777777" w:rsidR="005A6CD9" w:rsidRDefault="005A6CD9" w:rsidP="007E6F9B">
      <w:pPr>
        <w:spacing w:after="0"/>
        <w:ind w:left="120"/>
        <w:rPr>
          <w:rFonts w:ascii="Cambria" w:hAnsi="Cambria"/>
          <w:color w:val="000000"/>
        </w:rPr>
      </w:pPr>
    </w:p>
    <w:p w14:paraId="68AF6CD0" w14:textId="7ED5E3E8" w:rsidR="00CA56AB" w:rsidRDefault="00E628C7" w:rsidP="007E6F9B">
      <w:pPr>
        <w:spacing w:after="0"/>
        <w:ind w:left="120"/>
        <w:rPr>
          <w:rFonts w:ascii="Cambria" w:hAnsi="Cambria"/>
          <w:color w:val="000000"/>
        </w:rPr>
      </w:pPr>
      <w:r>
        <w:rPr>
          <w:rFonts w:ascii="Cambria" w:hAnsi="Cambria"/>
          <w:color w:val="000000"/>
        </w:rPr>
        <w:tab/>
      </w:r>
      <w:r w:rsidR="00CA56AB">
        <w:rPr>
          <w:rFonts w:ascii="Cambria" w:hAnsi="Cambria"/>
          <w:color w:val="000000"/>
        </w:rPr>
        <w:t>T</w:t>
      </w:r>
      <w:r w:rsidR="002D3F2C">
        <w:rPr>
          <w:rFonts w:ascii="Cambria" w:hAnsi="Cambria"/>
          <w:color w:val="000000"/>
        </w:rPr>
        <w:t xml:space="preserve">his </w:t>
      </w:r>
      <w:r w:rsidR="005E6E69">
        <w:rPr>
          <w:rFonts w:ascii="Cambria" w:hAnsi="Cambria"/>
          <w:color w:val="000000"/>
        </w:rPr>
        <w:t xml:space="preserve">current </w:t>
      </w:r>
      <w:r w:rsidR="002D3F2C">
        <w:rPr>
          <w:rFonts w:ascii="Cambria" w:hAnsi="Cambria"/>
          <w:color w:val="000000"/>
        </w:rPr>
        <w:t>study</w:t>
      </w:r>
      <w:r w:rsidR="00CA56AB">
        <w:rPr>
          <w:rFonts w:ascii="Cambria" w:hAnsi="Cambria"/>
          <w:color w:val="000000"/>
        </w:rPr>
        <w:t xml:space="preserve"> </w:t>
      </w:r>
      <w:r w:rsidR="005A6CD9">
        <w:rPr>
          <w:rFonts w:ascii="Cambria" w:hAnsi="Cambria"/>
          <w:color w:val="000000"/>
        </w:rPr>
        <w:t xml:space="preserve">also </w:t>
      </w:r>
      <w:r w:rsidR="00C66C10">
        <w:rPr>
          <w:rFonts w:ascii="Cambria" w:hAnsi="Cambria"/>
          <w:color w:val="000000"/>
        </w:rPr>
        <w:t xml:space="preserve">shared </w:t>
      </w:r>
      <w:r w:rsidR="00CA56AB">
        <w:rPr>
          <w:rFonts w:ascii="Cambria" w:hAnsi="Cambria"/>
          <w:color w:val="000000"/>
        </w:rPr>
        <w:t xml:space="preserve">several broad findings with the previous </w:t>
      </w:r>
      <w:r w:rsidR="005E6E69">
        <w:rPr>
          <w:rFonts w:ascii="Cambria" w:hAnsi="Cambria"/>
          <w:color w:val="000000"/>
        </w:rPr>
        <w:t xml:space="preserve">TDSB-UofT </w:t>
      </w:r>
      <w:r w:rsidR="00CA56AB">
        <w:rPr>
          <w:rFonts w:ascii="Cambria" w:hAnsi="Cambria"/>
          <w:color w:val="000000"/>
        </w:rPr>
        <w:t>study</w:t>
      </w:r>
      <w:r w:rsidR="00C66C10">
        <w:rPr>
          <w:rFonts w:ascii="Cambria" w:hAnsi="Cambria"/>
          <w:color w:val="000000"/>
        </w:rPr>
        <w:t xml:space="preserve">. Both found that most </w:t>
      </w:r>
      <w:r w:rsidR="005E6E69">
        <w:rPr>
          <w:rFonts w:ascii="Cambria" w:hAnsi="Cambria"/>
          <w:color w:val="000000"/>
        </w:rPr>
        <w:t xml:space="preserve">postsecondary </w:t>
      </w:r>
      <w:r w:rsidR="00C66C10">
        <w:rPr>
          <w:rFonts w:ascii="Cambria" w:hAnsi="Cambria"/>
          <w:color w:val="000000"/>
        </w:rPr>
        <w:t>transfers into UofT came from local institutions</w:t>
      </w:r>
      <w:r w:rsidR="005E6E69">
        <w:rPr>
          <w:rFonts w:ascii="Cambria" w:hAnsi="Cambria"/>
          <w:color w:val="000000"/>
        </w:rPr>
        <w:t xml:space="preserve">. Both </w:t>
      </w:r>
      <w:r w:rsidR="00C66C10">
        <w:rPr>
          <w:rFonts w:ascii="Cambria" w:hAnsi="Cambria"/>
          <w:color w:val="000000"/>
        </w:rPr>
        <w:t>detected broad</w:t>
      </w:r>
      <w:r w:rsidR="005E6E69">
        <w:rPr>
          <w:rFonts w:ascii="Cambria" w:hAnsi="Cambria"/>
          <w:color w:val="000000"/>
        </w:rPr>
        <w:t>ly</w:t>
      </w:r>
      <w:r w:rsidR="00C66C10">
        <w:rPr>
          <w:rFonts w:ascii="Cambria" w:hAnsi="Cambria"/>
          <w:color w:val="000000"/>
        </w:rPr>
        <w:t xml:space="preserve"> </w:t>
      </w:r>
      <w:r w:rsidR="00CA56AB">
        <w:rPr>
          <w:rFonts w:ascii="Cambria" w:hAnsi="Cambria"/>
          <w:color w:val="000000"/>
        </w:rPr>
        <w:t>similar proportions of transfer</w:t>
      </w:r>
      <w:r w:rsidR="005E6E69">
        <w:rPr>
          <w:rFonts w:ascii="Cambria" w:hAnsi="Cambria"/>
          <w:color w:val="000000"/>
        </w:rPr>
        <w:t>s</w:t>
      </w:r>
      <w:r w:rsidR="00CA56AB">
        <w:rPr>
          <w:rFonts w:ascii="Cambria" w:hAnsi="Cambria"/>
          <w:color w:val="000000"/>
        </w:rPr>
        <w:t xml:space="preserve"> </w:t>
      </w:r>
      <w:r w:rsidR="005E6E69">
        <w:rPr>
          <w:rFonts w:ascii="Cambria" w:hAnsi="Cambria"/>
          <w:color w:val="000000"/>
        </w:rPr>
        <w:t xml:space="preserve">from </w:t>
      </w:r>
      <w:r w:rsidR="00C66C10">
        <w:rPr>
          <w:rFonts w:ascii="Cambria" w:hAnsi="Cambria"/>
          <w:color w:val="000000"/>
        </w:rPr>
        <w:t xml:space="preserve">Ontario universities and community </w:t>
      </w:r>
      <w:r w:rsidR="00C66C10">
        <w:rPr>
          <w:rFonts w:ascii="Cambria" w:hAnsi="Cambria"/>
          <w:color w:val="000000"/>
        </w:rPr>
        <w:lastRenderedPageBreak/>
        <w:t>colleges</w:t>
      </w:r>
      <w:r w:rsidR="00CA56AB">
        <w:rPr>
          <w:rFonts w:ascii="Cambria" w:hAnsi="Cambria"/>
          <w:color w:val="000000"/>
        </w:rPr>
        <w:t xml:space="preserve">, </w:t>
      </w:r>
      <w:r w:rsidR="005E6E69">
        <w:rPr>
          <w:rFonts w:ascii="Cambria" w:hAnsi="Cambria"/>
          <w:color w:val="000000"/>
        </w:rPr>
        <w:t xml:space="preserve">and from institutions in </w:t>
      </w:r>
      <w:r w:rsidR="00C66C10">
        <w:rPr>
          <w:rFonts w:ascii="Cambria" w:hAnsi="Cambria"/>
          <w:color w:val="000000"/>
        </w:rPr>
        <w:t xml:space="preserve">other provinces and countries. </w:t>
      </w:r>
      <w:r w:rsidR="005E6E69">
        <w:rPr>
          <w:rFonts w:ascii="Cambria" w:hAnsi="Cambria"/>
          <w:color w:val="000000"/>
        </w:rPr>
        <w:t>They</w:t>
      </w:r>
      <w:r w:rsidR="00C66C10">
        <w:rPr>
          <w:rFonts w:ascii="Cambria" w:hAnsi="Cambria"/>
          <w:color w:val="000000"/>
        </w:rPr>
        <w:t xml:space="preserve"> found similar </w:t>
      </w:r>
      <w:r w:rsidR="009D3E3C">
        <w:rPr>
          <w:rFonts w:ascii="Cambria" w:hAnsi="Cambria"/>
          <w:color w:val="000000"/>
        </w:rPr>
        <w:t>demographic and academic differences between transfer and direct entry students, and</w:t>
      </w:r>
      <w:r w:rsidR="00C66C10">
        <w:rPr>
          <w:rFonts w:ascii="Cambria" w:hAnsi="Cambria"/>
          <w:color w:val="000000"/>
        </w:rPr>
        <w:t xml:space="preserve"> that </w:t>
      </w:r>
      <w:r w:rsidR="009D3E3C">
        <w:rPr>
          <w:rFonts w:ascii="Cambria" w:hAnsi="Cambria"/>
          <w:color w:val="000000"/>
        </w:rPr>
        <w:t xml:space="preserve">transfer students </w:t>
      </w:r>
      <w:r w:rsidR="00C66C10">
        <w:rPr>
          <w:rFonts w:ascii="Cambria" w:hAnsi="Cambria"/>
          <w:color w:val="000000"/>
        </w:rPr>
        <w:t xml:space="preserve">were less likely than others </w:t>
      </w:r>
      <w:r w:rsidR="009D3E3C">
        <w:rPr>
          <w:rFonts w:ascii="Cambria" w:hAnsi="Cambria"/>
          <w:color w:val="000000"/>
        </w:rPr>
        <w:t xml:space="preserve">to enter STEM fields at UofT. Further, both studies </w:t>
      </w:r>
      <w:r w:rsidR="00C66C10">
        <w:rPr>
          <w:rFonts w:ascii="Cambria" w:hAnsi="Cambria"/>
          <w:color w:val="000000"/>
        </w:rPr>
        <w:t xml:space="preserve">showed </w:t>
      </w:r>
      <w:r w:rsidR="009D3E3C">
        <w:rPr>
          <w:rFonts w:ascii="Cambria" w:hAnsi="Cambria"/>
          <w:color w:val="000000"/>
        </w:rPr>
        <w:t xml:space="preserve">that </w:t>
      </w:r>
      <w:r w:rsidR="005E6E69">
        <w:rPr>
          <w:rFonts w:ascii="Cambria" w:hAnsi="Cambria"/>
          <w:color w:val="000000"/>
        </w:rPr>
        <w:t xml:space="preserve">pre-existing </w:t>
      </w:r>
      <w:r w:rsidR="009D3E3C">
        <w:rPr>
          <w:rFonts w:ascii="Cambria" w:hAnsi="Cambria"/>
          <w:color w:val="000000"/>
        </w:rPr>
        <w:t>high school academic</w:t>
      </w:r>
      <w:r w:rsidR="005E6E69">
        <w:rPr>
          <w:rFonts w:ascii="Cambria" w:hAnsi="Cambria"/>
          <w:color w:val="000000"/>
        </w:rPr>
        <w:t xml:space="preserve"> record</w:t>
      </w:r>
      <w:r w:rsidR="009D3E3C">
        <w:rPr>
          <w:rFonts w:ascii="Cambria" w:hAnsi="Cambria"/>
          <w:color w:val="000000"/>
        </w:rPr>
        <w:t xml:space="preserve">s </w:t>
      </w:r>
      <w:r w:rsidR="005A6CD9">
        <w:rPr>
          <w:rFonts w:ascii="Cambria" w:hAnsi="Cambria"/>
          <w:color w:val="000000"/>
        </w:rPr>
        <w:t xml:space="preserve">accounted for </w:t>
      </w:r>
      <w:r w:rsidR="005E6E69">
        <w:rPr>
          <w:rFonts w:ascii="Cambria" w:hAnsi="Cambria"/>
          <w:color w:val="000000"/>
        </w:rPr>
        <w:t xml:space="preserve">much of the graduation </w:t>
      </w:r>
      <w:r w:rsidR="009D3E3C">
        <w:rPr>
          <w:rFonts w:ascii="Cambria" w:hAnsi="Cambria"/>
          <w:color w:val="000000"/>
        </w:rPr>
        <w:t>gap between transfer students and direct entry students.</w:t>
      </w:r>
    </w:p>
    <w:p w14:paraId="63D9F51A" w14:textId="05D07E54" w:rsidR="009D3E3C" w:rsidRDefault="009D3E3C" w:rsidP="007E6F9B">
      <w:pPr>
        <w:spacing w:after="0"/>
        <w:ind w:left="120"/>
        <w:rPr>
          <w:rFonts w:ascii="Cambria" w:hAnsi="Cambria"/>
          <w:color w:val="000000"/>
        </w:rPr>
      </w:pPr>
    </w:p>
    <w:p w14:paraId="439057DD" w14:textId="7D3A48E6" w:rsidR="009D3E3C" w:rsidRDefault="005E6E69" w:rsidP="005E6E69">
      <w:pPr>
        <w:spacing w:after="0"/>
        <w:ind w:left="120"/>
        <w:rPr>
          <w:rFonts w:ascii="Cambria" w:hAnsi="Cambria"/>
          <w:color w:val="000000"/>
        </w:rPr>
      </w:pPr>
      <w:r>
        <w:rPr>
          <w:rFonts w:ascii="Cambria" w:hAnsi="Cambria"/>
          <w:color w:val="000000"/>
        </w:rPr>
        <w:tab/>
        <w:t>However, the current study uncovered several patterns that differed from those in the previous study. The new</w:t>
      </w:r>
      <w:r w:rsidR="005A6CD9">
        <w:rPr>
          <w:rFonts w:ascii="Cambria" w:hAnsi="Cambria"/>
          <w:color w:val="000000"/>
        </w:rPr>
        <w:t xml:space="preserve"> Grade 12 TDSB-UofT</w:t>
      </w:r>
      <w:r>
        <w:rPr>
          <w:rFonts w:ascii="Cambria" w:hAnsi="Cambria"/>
          <w:color w:val="000000"/>
        </w:rPr>
        <w:t xml:space="preserve"> </w:t>
      </w:r>
      <w:r w:rsidR="005A6CD9">
        <w:rPr>
          <w:rFonts w:ascii="Cambria" w:hAnsi="Cambria"/>
          <w:color w:val="000000"/>
        </w:rPr>
        <w:t xml:space="preserve">data </w:t>
      </w:r>
      <w:r>
        <w:rPr>
          <w:rFonts w:ascii="Cambria" w:hAnsi="Cambria"/>
          <w:color w:val="000000"/>
        </w:rPr>
        <w:t xml:space="preserve">linkage </w:t>
      </w:r>
      <w:r w:rsidR="005A6CD9">
        <w:rPr>
          <w:rFonts w:ascii="Cambria" w:hAnsi="Cambria"/>
          <w:color w:val="000000"/>
        </w:rPr>
        <w:t xml:space="preserve">detected </w:t>
      </w:r>
      <w:r>
        <w:rPr>
          <w:rFonts w:ascii="Cambria" w:hAnsi="Cambria"/>
          <w:color w:val="000000"/>
        </w:rPr>
        <w:t xml:space="preserve">markedly lower </w:t>
      </w:r>
      <w:r w:rsidR="009D3E3C">
        <w:rPr>
          <w:rFonts w:ascii="Cambria" w:hAnsi="Cambria"/>
          <w:color w:val="000000"/>
        </w:rPr>
        <w:t xml:space="preserve">rates of </w:t>
      </w:r>
      <w:r>
        <w:rPr>
          <w:rFonts w:ascii="Cambria" w:hAnsi="Cambria"/>
          <w:color w:val="000000"/>
        </w:rPr>
        <w:t xml:space="preserve">postsecondary </w:t>
      </w:r>
      <w:r w:rsidR="009D3E3C">
        <w:rPr>
          <w:rFonts w:ascii="Cambria" w:hAnsi="Cambria"/>
          <w:color w:val="000000"/>
        </w:rPr>
        <w:t>transfe</w:t>
      </w:r>
      <w:r>
        <w:rPr>
          <w:rFonts w:ascii="Cambria" w:hAnsi="Cambria"/>
          <w:color w:val="000000"/>
        </w:rPr>
        <w:t xml:space="preserve">rs. </w:t>
      </w:r>
      <w:r w:rsidR="005A6CD9">
        <w:rPr>
          <w:rFonts w:ascii="Cambria" w:hAnsi="Cambria"/>
          <w:color w:val="000000"/>
        </w:rPr>
        <w:t xml:space="preserve">Further, </w:t>
      </w:r>
      <w:r>
        <w:rPr>
          <w:rFonts w:ascii="Cambria" w:hAnsi="Cambria"/>
          <w:color w:val="000000"/>
        </w:rPr>
        <w:t>transfer</w:t>
      </w:r>
      <w:r w:rsidR="005A6CD9">
        <w:rPr>
          <w:rFonts w:ascii="Cambria" w:hAnsi="Cambria"/>
          <w:color w:val="000000"/>
        </w:rPr>
        <w:t xml:space="preserve">s </w:t>
      </w:r>
      <w:r>
        <w:rPr>
          <w:rFonts w:ascii="Cambria" w:hAnsi="Cambria"/>
          <w:color w:val="000000"/>
        </w:rPr>
        <w:t>from universities did not have outcomes at UofT that were significantly worse than those of direct entry stud</w:t>
      </w:r>
      <w:r w:rsidR="005A6CD9">
        <w:rPr>
          <w:rFonts w:ascii="Cambria" w:hAnsi="Cambria"/>
          <w:color w:val="000000"/>
        </w:rPr>
        <w:t>ent</w:t>
      </w:r>
      <w:r>
        <w:rPr>
          <w:rFonts w:ascii="Cambria" w:hAnsi="Cambria"/>
          <w:color w:val="000000"/>
        </w:rPr>
        <w:t>s, with the exception of the former’s lower propensities to enter STEM fields of study.  Otherwise, among postsecondary transfer</w:t>
      </w:r>
      <w:r w:rsidR="008E0389">
        <w:rPr>
          <w:rFonts w:ascii="Cambria" w:hAnsi="Cambria"/>
          <w:color w:val="000000"/>
        </w:rPr>
        <w:t>s</w:t>
      </w:r>
      <w:r>
        <w:rPr>
          <w:rFonts w:ascii="Cambria" w:hAnsi="Cambria"/>
          <w:color w:val="000000"/>
        </w:rPr>
        <w:t xml:space="preserve">, only those from Ontario </w:t>
      </w:r>
      <w:r w:rsidR="009D3E3C">
        <w:rPr>
          <w:rFonts w:ascii="Cambria" w:hAnsi="Cambria"/>
          <w:color w:val="000000"/>
        </w:rPr>
        <w:t>community college</w:t>
      </w:r>
      <w:r>
        <w:rPr>
          <w:rFonts w:ascii="Cambria" w:hAnsi="Cambria"/>
          <w:color w:val="000000"/>
        </w:rPr>
        <w:t>s</w:t>
      </w:r>
      <w:r w:rsidR="009D3E3C">
        <w:rPr>
          <w:rFonts w:ascii="Cambria" w:hAnsi="Cambria"/>
          <w:color w:val="000000"/>
        </w:rPr>
        <w:t xml:space="preserve"> </w:t>
      </w:r>
      <w:r>
        <w:rPr>
          <w:rFonts w:ascii="Cambria" w:hAnsi="Cambria"/>
          <w:color w:val="000000"/>
        </w:rPr>
        <w:t>h</w:t>
      </w:r>
      <w:r w:rsidR="009D3E3C">
        <w:rPr>
          <w:rFonts w:ascii="Cambria" w:hAnsi="Cambria"/>
          <w:color w:val="000000"/>
        </w:rPr>
        <w:t xml:space="preserve">ad </w:t>
      </w:r>
      <w:r>
        <w:rPr>
          <w:rFonts w:ascii="Cambria" w:hAnsi="Cambria"/>
          <w:color w:val="000000"/>
        </w:rPr>
        <w:t>significantly</w:t>
      </w:r>
      <w:r w:rsidR="009D3E3C">
        <w:rPr>
          <w:rFonts w:ascii="Cambria" w:hAnsi="Cambria"/>
          <w:color w:val="000000"/>
        </w:rPr>
        <w:t xml:space="preserve"> worse </w:t>
      </w:r>
      <w:r>
        <w:rPr>
          <w:rFonts w:ascii="Cambria" w:hAnsi="Cambria"/>
          <w:color w:val="000000"/>
        </w:rPr>
        <w:t>outcomes at UofT</w:t>
      </w:r>
      <w:r w:rsidR="008E0389">
        <w:rPr>
          <w:rFonts w:ascii="Cambria" w:hAnsi="Cambria"/>
          <w:color w:val="000000"/>
        </w:rPr>
        <w:t>. But those students did face challenges</w:t>
      </w:r>
      <w:r>
        <w:rPr>
          <w:rFonts w:ascii="Cambria" w:hAnsi="Cambria"/>
          <w:color w:val="000000"/>
        </w:rPr>
        <w:t xml:space="preserve">, particularly </w:t>
      </w:r>
      <w:r w:rsidR="00FD1B6A">
        <w:rPr>
          <w:rFonts w:ascii="Cambria" w:hAnsi="Cambria"/>
          <w:color w:val="000000"/>
        </w:rPr>
        <w:t>in terms of</w:t>
      </w:r>
      <w:r>
        <w:rPr>
          <w:rFonts w:ascii="Cambria" w:hAnsi="Cambria"/>
          <w:color w:val="000000"/>
        </w:rPr>
        <w:t xml:space="preserve"> </w:t>
      </w:r>
      <w:r w:rsidR="009D3E3C">
        <w:rPr>
          <w:rFonts w:ascii="Cambria" w:hAnsi="Cambria"/>
          <w:color w:val="000000"/>
        </w:rPr>
        <w:t>graduation</w:t>
      </w:r>
      <w:r w:rsidR="00FD1B6A">
        <w:rPr>
          <w:rFonts w:ascii="Cambria" w:hAnsi="Cambria"/>
          <w:color w:val="000000"/>
        </w:rPr>
        <w:t xml:space="preserve">. Only about half of community college transfers managed to graduate from UofT within the time window of the study, </w:t>
      </w:r>
      <w:r w:rsidR="008E0389">
        <w:rPr>
          <w:rFonts w:ascii="Cambria" w:hAnsi="Cambria"/>
          <w:color w:val="000000"/>
        </w:rPr>
        <w:t xml:space="preserve">which tracked </w:t>
      </w:r>
      <w:r w:rsidR="005A6CD9">
        <w:rPr>
          <w:rFonts w:ascii="Cambria" w:hAnsi="Cambria"/>
          <w:color w:val="000000"/>
        </w:rPr>
        <w:t>the oldest cohort</w:t>
      </w:r>
      <w:r w:rsidR="008E0389">
        <w:rPr>
          <w:rFonts w:ascii="Cambria" w:hAnsi="Cambria"/>
          <w:color w:val="000000"/>
        </w:rPr>
        <w:t xml:space="preserve"> </w:t>
      </w:r>
      <w:r w:rsidR="00FD1B6A">
        <w:rPr>
          <w:rFonts w:ascii="Cambria" w:hAnsi="Cambria"/>
          <w:color w:val="000000"/>
        </w:rPr>
        <w:t>14 years after be</w:t>
      </w:r>
      <w:r w:rsidR="005A6CD9">
        <w:rPr>
          <w:rFonts w:ascii="Cambria" w:hAnsi="Cambria"/>
          <w:color w:val="000000"/>
        </w:rPr>
        <w:t xml:space="preserve">ginning </w:t>
      </w:r>
      <w:r w:rsidR="00FD1B6A">
        <w:rPr>
          <w:rFonts w:ascii="Cambria" w:hAnsi="Cambria"/>
          <w:color w:val="000000"/>
        </w:rPr>
        <w:t>grade 12</w:t>
      </w:r>
      <w:r w:rsidR="005A6CD9">
        <w:rPr>
          <w:rFonts w:ascii="Cambria" w:hAnsi="Cambria"/>
          <w:color w:val="000000"/>
        </w:rPr>
        <w:t xml:space="preserve">, and the youngest cohort </w:t>
      </w:r>
      <w:r w:rsidR="00FD1B6A">
        <w:rPr>
          <w:rFonts w:ascii="Cambria" w:hAnsi="Cambria"/>
          <w:color w:val="000000"/>
        </w:rPr>
        <w:t xml:space="preserve">9 years. </w:t>
      </w:r>
    </w:p>
    <w:p w14:paraId="7D300D5C" w14:textId="729C0A11" w:rsidR="00364ACF" w:rsidRDefault="00364ACF" w:rsidP="00364ACF">
      <w:pPr>
        <w:spacing w:after="0"/>
        <w:ind w:left="120"/>
        <w:rPr>
          <w:rFonts w:ascii="Cambria" w:hAnsi="Cambria"/>
          <w:color w:val="000000"/>
        </w:rPr>
      </w:pPr>
      <w:r>
        <w:rPr>
          <w:rFonts w:ascii="Cambria" w:hAnsi="Cambria"/>
          <w:color w:val="000000"/>
        </w:rPr>
        <w:t xml:space="preserve"> </w:t>
      </w:r>
    </w:p>
    <w:p w14:paraId="3570171A" w14:textId="4DF8AD46" w:rsidR="00443CE2" w:rsidRDefault="00364ACF" w:rsidP="007E6F9B">
      <w:pPr>
        <w:spacing w:after="0"/>
        <w:ind w:left="120"/>
        <w:rPr>
          <w:rFonts w:ascii="Cambria" w:hAnsi="Cambria"/>
          <w:color w:val="000000"/>
        </w:rPr>
      </w:pPr>
      <w:r>
        <w:rPr>
          <w:rFonts w:ascii="Cambria" w:hAnsi="Cambria"/>
          <w:color w:val="000000"/>
        </w:rPr>
        <w:tab/>
      </w:r>
      <w:r w:rsidR="00E95D93">
        <w:rPr>
          <w:rFonts w:ascii="Cambria" w:hAnsi="Cambria"/>
          <w:color w:val="000000"/>
        </w:rPr>
        <w:t>The</w:t>
      </w:r>
      <w:r>
        <w:rPr>
          <w:rFonts w:ascii="Cambria" w:hAnsi="Cambria"/>
          <w:color w:val="000000"/>
        </w:rPr>
        <w:t xml:space="preserve"> likeliest </w:t>
      </w:r>
      <w:r w:rsidR="00976771">
        <w:rPr>
          <w:rFonts w:ascii="Cambria" w:hAnsi="Cambria"/>
          <w:color w:val="000000"/>
        </w:rPr>
        <w:t xml:space="preserve">explanation </w:t>
      </w:r>
      <w:r w:rsidR="002D3F2C">
        <w:rPr>
          <w:rFonts w:ascii="Cambria" w:hAnsi="Cambria"/>
          <w:color w:val="000000"/>
        </w:rPr>
        <w:t>for th</w:t>
      </w:r>
      <w:r>
        <w:rPr>
          <w:rFonts w:ascii="Cambria" w:hAnsi="Cambria"/>
          <w:color w:val="000000"/>
        </w:rPr>
        <w:t xml:space="preserve">ese </w:t>
      </w:r>
      <w:r w:rsidR="002D3F2C">
        <w:rPr>
          <w:rFonts w:ascii="Cambria" w:hAnsi="Cambria"/>
          <w:color w:val="000000"/>
        </w:rPr>
        <w:t>differen</w:t>
      </w:r>
      <w:r>
        <w:rPr>
          <w:rFonts w:ascii="Cambria" w:hAnsi="Cambria"/>
          <w:color w:val="000000"/>
        </w:rPr>
        <w:t>t findings lies in their</w:t>
      </w:r>
      <w:r w:rsidR="00756C24">
        <w:rPr>
          <w:rFonts w:ascii="Cambria" w:hAnsi="Cambria"/>
          <w:color w:val="000000"/>
        </w:rPr>
        <w:t xml:space="preserve"> </w:t>
      </w:r>
      <w:r>
        <w:rPr>
          <w:rFonts w:ascii="Cambria" w:hAnsi="Cambria"/>
          <w:color w:val="000000"/>
        </w:rPr>
        <w:t xml:space="preserve">cohort designs. </w:t>
      </w:r>
      <w:r w:rsidR="00756C24">
        <w:rPr>
          <w:rFonts w:ascii="Cambria" w:hAnsi="Cambria"/>
          <w:color w:val="000000"/>
        </w:rPr>
        <w:t xml:space="preserve">The previous data set </w:t>
      </w:r>
      <w:r w:rsidR="008E0389">
        <w:rPr>
          <w:rFonts w:ascii="Cambria" w:hAnsi="Cambria"/>
          <w:color w:val="000000"/>
        </w:rPr>
        <w:t xml:space="preserve">included </w:t>
      </w:r>
      <w:r w:rsidR="00756C24">
        <w:rPr>
          <w:rFonts w:ascii="Cambria" w:hAnsi="Cambria"/>
          <w:color w:val="000000"/>
        </w:rPr>
        <w:t xml:space="preserve">students in TDSB schools in Grade 9, and retained any who eventually entered UofT within the time frame of the study. The current </w:t>
      </w:r>
      <w:r w:rsidR="002D3F2C">
        <w:rPr>
          <w:rFonts w:ascii="Cambria" w:hAnsi="Cambria"/>
          <w:color w:val="000000"/>
        </w:rPr>
        <w:t>data set</w:t>
      </w:r>
      <w:r w:rsidR="005961ED">
        <w:rPr>
          <w:rFonts w:ascii="Cambria" w:hAnsi="Cambria"/>
          <w:color w:val="000000"/>
        </w:rPr>
        <w:t xml:space="preserve"> </w:t>
      </w:r>
      <w:r w:rsidR="008E0389">
        <w:rPr>
          <w:rFonts w:ascii="Cambria" w:hAnsi="Cambria"/>
          <w:color w:val="000000"/>
        </w:rPr>
        <w:t xml:space="preserve">included </w:t>
      </w:r>
      <w:r>
        <w:rPr>
          <w:rFonts w:ascii="Cambria" w:hAnsi="Cambria"/>
          <w:color w:val="000000"/>
        </w:rPr>
        <w:t>students</w:t>
      </w:r>
      <w:r w:rsidR="00756C24">
        <w:rPr>
          <w:rFonts w:ascii="Cambria" w:hAnsi="Cambria"/>
          <w:color w:val="000000"/>
        </w:rPr>
        <w:t xml:space="preserve"> in TDSB schools in Grade 12, and similarly retained any student who eventually entered UofT.</w:t>
      </w:r>
      <w:r>
        <w:rPr>
          <w:rFonts w:ascii="Cambria" w:hAnsi="Cambria"/>
          <w:color w:val="000000"/>
        </w:rPr>
        <w:t xml:space="preserve"> </w:t>
      </w:r>
      <w:r w:rsidR="00756C24">
        <w:rPr>
          <w:rFonts w:ascii="Cambria" w:hAnsi="Cambria"/>
          <w:color w:val="000000"/>
        </w:rPr>
        <w:t xml:space="preserve"> </w:t>
      </w:r>
      <w:r w:rsidR="008E0389">
        <w:rPr>
          <w:rFonts w:ascii="Cambria" w:hAnsi="Cambria"/>
          <w:color w:val="000000"/>
        </w:rPr>
        <w:t>But t</w:t>
      </w:r>
      <w:r w:rsidR="00756C24">
        <w:rPr>
          <w:rFonts w:ascii="Cambria" w:hAnsi="Cambria"/>
          <w:color w:val="000000"/>
        </w:rPr>
        <w:t xml:space="preserve">hose different cohort designs </w:t>
      </w:r>
      <w:r w:rsidR="008E0389">
        <w:rPr>
          <w:rFonts w:ascii="Cambria" w:hAnsi="Cambria"/>
          <w:color w:val="000000"/>
        </w:rPr>
        <w:t xml:space="preserve">generate </w:t>
      </w:r>
      <w:r w:rsidR="00756C24">
        <w:rPr>
          <w:rFonts w:ascii="Cambria" w:hAnsi="Cambria"/>
          <w:color w:val="000000"/>
        </w:rPr>
        <w:t xml:space="preserve">somewhat different </w:t>
      </w:r>
      <w:r w:rsidR="00ED4F41">
        <w:rPr>
          <w:rFonts w:ascii="Cambria" w:hAnsi="Cambria"/>
          <w:color w:val="000000"/>
        </w:rPr>
        <w:t>compositions of students</w:t>
      </w:r>
      <w:r w:rsidR="00756C24">
        <w:rPr>
          <w:rFonts w:ascii="Cambria" w:hAnsi="Cambria"/>
          <w:color w:val="000000"/>
        </w:rPr>
        <w:t xml:space="preserve">. </w:t>
      </w:r>
      <w:r w:rsidR="00ED4F41">
        <w:rPr>
          <w:rFonts w:ascii="Cambria" w:hAnsi="Cambria"/>
          <w:color w:val="000000"/>
        </w:rPr>
        <w:t>T</w:t>
      </w:r>
      <w:r w:rsidR="00756C24">
        <w:rPr>
          <w:rFonts w:ascii="Cambria" w:hAnsi="Cambria"/>
          <w:color w:val="000000"/>
        </w:rPr>
        <w:t xml:space="preserve">he Grade 9 cohorts were </w:t>
      </w:r>
      <w:r w:rsidR="00443CE2">
        <w:rPr>
          <w:rFonts w:ascii="Cambria" w:hAnsi="Cambria"/>
          <w:color w:val="000000"/>
        </w:rPr>
        <w:t xml:space="preserve">somewhat </w:t>
      </w:r>
      <w:r w:rsidR="00756C24">
        <w:rPr>
          <w:rFonts w:ascii="Cambria" w:hAnsi="Cambria"/>
          <w:color w:val="000000"/>
        </w:rPr>
        <w:t>larger than the Grade 12 cohorts</w:t>
      </w:r>
      <w:r w:rsidR="00ED4F41">
        <w:rPr>
          <w:rFonts w:ascii="Cambria" w:hAnsi="Cambria"/>
          <w:color w:val="000000"/>
        </w:rPr>
        <w:t xml:space="preserve">, </w:t>
      </w:r>
      <w:r w:rsidR="00443CE2">
        <w:rPr>
          <w:rFonts w:ascii="Cambria" w:hAnsi="Cambria"/>
          <w:color w:val="000000"/>
        </w:rPr>
        <w:t xml:space="preserve">partly because </w:t>
      </w:r>
      <w:r w:rsidR="00ED4F41">
        <w:rPr>
          <w:rFonts w:ascii="Cambria" w:hAnsi="Cambria"/>
          <w:color w:val="000000"/>
        </w:rPr>
        <w:t>the latter excluded any student</w:t>
      </w:r>
      <w:r w:rsidR="008E0389">
        <w:rPr>
          <w:rFonts w:ascii="Cambria" w:hAnsi="Cambria"/>
          <w:color w:val="000000"/>
        </w:rPr>
        <w:t>s</w:t>
      </w:r>
      <w:r w:rsidR="00ED4F41">
        <w:rPr>
          <w:rFonts w:ascii="Cambria" w:hAnsi="Cambria"/>
          <w:color w:val="000000"/>
        </w:rPr>
        <w:t xml:space="preserve"> who dropped out of school before Grade 12. But the Grade 9</w:t>
      </w:r>
      <w:r w:rsidR="00756C24">
        <w:rPr>
          <w:rFonts w:ascii="Cambria" w:hAnsi="Cambria"/>
          <w:color w:val="000000"/>
        </w:rPr>
        <w:t xml:space="preserve"> </w:t>
      </w:r>
      <w:r w:rsidR="00443CE2">
        <w:rPr>
          <w:rFonts w:ascii="Cambria" w:hAnsi="Cambria"/>
          <w:color w:val="000000"/>
        </w:rPr>
        <w:t xml:space="preserve">cohort also </w:t>
      </w:r>
      <w:r w:rsidR="00756C24">
        <w:rPr>
          <w:rFonts w:ascii="Cambria" w:hAnsi="Cambria"/>
          <w:color w:val="000000"/>
        </w:rPr>
        <w:t xml:space="preserve">tracked students for 3 </w:t>
      </w:r>
      <w:r w:rsidR="00443CE2">
        <w:rPr>
          <w:rFonts w:ascii="Cambria" w:hAnsi="Cambria"/>
          <w:color w:val="000000"/>
        </w:rPr>
        <w:t xml:space="preserve">additional </w:t>
      </w:r>
      <w:r w:rsidR="00756C24">
        <w:rPr>
          <w:rFonts w:ascii="Cambria" w:hAnsi="Cambria"/>
          <w:color w:val="000000"/>
        </w:rPr>
        <w:t xml:space="preserve">years, </w:t>
      </w:r>
      <w:r w:rsidR="00ED4F41">
        <w:rPr>
          <w:rFonts w:ascii="Cambria" w:hAnsi="Cambria"/>
          <w:color w:val="000000"/>
        </w:rPr>
        <w:t>and by doing so, retained</w:t>
      </w:r>
      <w:r w:rsidR="008E0389">
        <w:rPr>
          <w:rFonts w:ascii="Cambria" w:hAnsi="Cambria"/>
          <w:color w:val="000000"/>
        </w:rPr>
        <w:t xml:space="preserve"> </w:t>
      </w:r>
      <w:r w:rsidR="00ED4F41">
        <w:rPr>
          <w:rFonts w:ascii="Cambria" w:hAnsi="Cambria"/>
          <w:color w:val="000000"/>
        </w:rPr>
        <w:t xml:space="preserve">students who left TDSB between the beginning of grades 9 and 12 </w:t>
      </w:r>
      <w:r w:rsidR="00443CE2">
        <w:rPr>
          <w:rFonts w:ascii="Cambria" w:hAnsi="Cambria"/>
          <w:color w:val="000000"/>
        </w:rPr>
        <w:t xml:space="preserve">yet </w:t>
      </w:r>
      <w:r w:rsidR="00ED4F41">
        <w:rPr>
          <w:rFonts w:ascii="Cambria" w:hAnsi="Cambria"/>
          <w:color w:val="000000"/>
        </w:rPr>
        <w:t>eventually attended UofT. The Grade 12 data cohort also retain</w:t>
      </w:r>
      <w:r w:rsidR="00443CE2">
        <w:rPr>
          <w:rFonts w:ascii="Cambria" w:hAnsi="Cambria"/>
          <w:color w:val="000000"/>
        </w:rPr>
        <w:t>ed</w:t>
      </w:r>
      <w:r w:rsidR="00ED4F41">
        <w:rPr>
          <w:rFonts w:ascii="Cambria" w:hAnsi="Cambria"/>
          <w:color w:val="000000"/>
        </w:rPr>
        <w:t xml:space="preserve"> students who left TDSB, but only those who left between the outset of Grade 12 and entry into UofT</w:t>
      </w:r>
      <w:r w:rsidR="00443CE2">
        <w:rPr>
          <w:rFonts w:ascii="Cambria" w:hAnsi="Cambria"/>
          <w:color w:val="000000"/>
        </w:rPr>
        <w:t>, which comprised a considerably smaller number of students</w:t>
      </w:r>
      <w:r w:rsidR="00ED4F41">
        <w:rPr>
          <w:rFonts w:ascii="Cambria" w:hAnsi="Cambria"/>
          <w:color w:val="000000"/>
        </w:rPr>
        <w:t>.</w:t>
      </w:r>
    </w:p>
    <w:p w14:paraId="48B59486" w14:textId="77777777" w:rsidR="00443CE2" w:rsidRDefault="00443CE2" w:rsidP="007E6F9B">
      <w:pPr>
        <w:spacing w:after="0"/>
        <w:ind w:left="120"/>
        <w:rPr>
          <w:rFonts w:ascii="Cambria" w:hAnsi="Cambria"/>
          <w:color w:val="000000"/>
        </w:rPr>
      </w:pPr>
    </w:p>
    <w:p w14:paraId="12849DB6" w14:textId="41B54BAD" w:rsidR="00ED4F41" w:rsidRDefault="00443CE2" w:rsidP="007E6F9B">
      <w:pPr>
        <w:spacing w:after="0"/>
        <w:ind w:left="120"/>
        <w:rPr>
          <w:rFonts w:ascii="Cambria" w:hAnsi="Cambria"/>
          <w:color w:val="000000"/>
        </w:rPr>
      </w:pPr>
      <w:r>
        <w:rPr>
          <w:rFonts w:ascii="Cambria" w:hAnsi="Cambria"/>
          <w:color w:val="000000"/>
        </w:rPr>
        <w:tab/>
        <w:t xml:space="preserve">These different cohort designs </w:t>
      </w:r>
      <w:r w:rsidR="008E0389">
        <w:rPr>
          <w:rFonts w:ascii="Cambria" w:hAnsi="Cambria"/>
          <w:color w:val="000000"/>
        </w:rPr>
        <w:t xml:space="preserve">generated </w:t>
      </w:r>
      <w:r>
        <w:rPr>
          <w:rFonts w:ascii="Cambria" w:hAnsi="Cambria"/>
          <w:color w:val="000000"/>
        </w:rPr>
        <w:t>important impacts on two patterns of results: those involving proportions of transfer students, and those involving various gaps between transfer and direct entry students.  T</w:t>
      </w:r>
      <w:r w:rsidR="00ED4F41">
        <w:rPr>
          <w:rFonts w:ascii="Cambria" w:hAnsi="Cambria"/>
          <w:color w:val="000000"/>
        </w:rPr>
        <w:t>he</w:t>
      </w:r>
      <w:r>
        <w:rPr>
          <w:rFonts w:ascii="Cambria" w:hAnsi="Cambria"/>
          <w:color w:val="000000"/>
        </w:rPr>
        <w:t xml:space="preserve"> </w:t>
      </w:r>
      <w:r w:rsidR="00ED4F41">
        <w:rPr>
          <w:rFonts w:ascii="Cambria" w:hAnsi="Cambria"/>
          <w:color w:val="000000"/>
        </w:rPr>
        <w:t>Grade 9 cohort</w:t>
      </w:r>
      <w:r w:rsidR="008E0389">
        <w:rPr>
          <w:rFonts w:ascii="Cambria" w:hAnsi="Cambria"/>
          <w:color w:val="000000"/>
        </w:rPr>
        <w:t xml:space="preserve"> design</w:t>
      </w:r>
      <w:r>
        <w:rPr>
          <w:rFonts w:ascii="Cambria" w:hAnsi="Cambria"/>
          <w:color w:val="000000"/>
        </w:rPr>
        <w:t xml:space="preserve"> </w:t>
      </w:r>
      <w:r w:rsidR="00ED4F41">
        <w:rPr>
          <w:rFonts w:ascii="Cambria" w:hAnsi="Cambria"/>
          <w:color w:val="000000"/>
        </w:rPr>
        <w:t xml:space="preserve">had more students </w:t>
      </w:r>
      <w:r w:rsidR="00364ACF">
        <w:rPr>
          <w:rFonts w:ascii="Cambria" w:hAnsi="Cambria"/>
          <w:color w:val="000000"/>
        </w:rPr>
        <w:t xml:space="preserve">who were </w:t>
      </w:r>
      <w:r w:rsidR="00364ACF" w:rsidRPr="00443CE2">
        <w:rPr>
          <w:rFonts w:ascii="Cambria" w:hAnsi="Cambria"/>
          <w:i/>
          <w:color w:val="000000"/>
        </w:rPr>
        <w:t>geographically mobile</w:t>
      </w:r>
      <w:r w:rsidR="008E0389">
        <w:rPr>
          <w:rFonts w:ascii="Cambria" w:hAnsi="Cambria"/>
          <w:color w:val="000000"/>
        </w:rPr>
        <w:t>,</w:t>
      </w:r>
      <w:r w:rsidR="00364ACF">
        <w:rPr>
          <w:rFonts w:ascii="Cambria" w:hAnsi="Cambria"/>
          <w:color w:val="000000"/>
        </w:rPr>
        <w:t xml:space="preserve"> </w:t>
      </w:r>
      <w:r>
        <w:rPr>
          <w:rFonts w:ascii="Cambria" w:hAnsi="Cambria"/>
          <w:color w:val="000000"/>
        </w:rPr>
        <w:t>captur</w:t>
      </w:r>
      <w:r w:rsidR="008E0389">
        <w:rPr>
          <w:rFonts w:ascii="Cambria" w:hAnsi="Cambria"/>
          <w:color w:val="000000"/>
        </w:rPr>
        <w:t xml:space="preserve">ing </w:t>
      </w:r>
      <w:r w:rsidR="006647A5">
        <w:rPr>
          <w:rFonts w:ascii="Cambria" w:hAnsi="Cambria"/>
          <w:color w:val="000000"/>
        </w:rPr>
        <w:t xml:space="preserve">considerably </w:t>
      </w:r>
      <w:r>
        <w:rPr>
          <w:rFonts w:ascii="Cambria" w:hAnsi="Cambria"/>
          <w:color w:val="000000"/>
        </w:rPr>
        <w:t>large numbers who left</w:t>
      </w:r>
      <w:r w:rsidR="006647A5">
        <w:rPr>
          <w:rFonts w:ascii="Cambria" w:hAnsi="Cambria"/>
          <w:color w:val="000000"/>
        </w:rPr>
        <w:t xml:space="preserve"> TDSB during high school yet later returned to Toronto to attend UofT. Those mobile students had 2 further characteristics: on average, they had less conventional academic profiles than </w:t>
      </w:r>
      <w:r w:rsidR="008E0389">
        <w:rPr>
          <w:rFonts w:ascii="Cambria" w:hAnsi="Cambria"/>
          <w:color w:val="000000"/>
        </w:rPr>
        <w:t xml:space="preserve">did </w:t>
      </w:r>
      <w:r w:rsidR="006647A5">
        <w:rPr>
          <w:rFonts w:ascii="Cambria" w:hAnsi="Cambria"/>
          <w:color w:val="000000"/>
        </w:rPr>
        <w:t xml:space="preserve">direct entry students, </w:t>
      </w:r>
      <w:r w:rsidR="008E0389">
        <w:rPr>
          <w:rFonts w:ascii="Cambria" w:hAnsi="Cambria"/>
          <w:color w:val="000000"/>
        </w:rPr>
        <w:t xml:space="preserve">including </w:t>
      </w:r>
      <w:r w:rsidR="006647A5">
        <w:rPr>
          <w:rFonts w:ascii="Cambria" w:hAnsi="Cambria"/>
          <w:color w:val="000000"/>
        </w:rPr>
        <w:t>lower average marks and test scores in grade 9</w:t>
      </w:r>
      <w:r w:rsidR="008E0389">
        <w:rPr>
          <w:rFonts w:ascii="Cambria" w:hAnsi="Cambria"/>
          <w:color w:val="000000"/>
        </w:rPr>
        <w:t>.  Second</w:t>
      </w:r>
      <w:r w:rsidR="006647A5">
        <w:rPr>
          <w:rFonts w:ascii="Cambria" w:hAnsi="Cambria"/>
          <w:color w:val="000000"/>
        </w:rPr>
        <w:t xml:space="preserve">, on average they were likelier to become postsecondary transfer students. The latter is likely a consequence of their geographical movements: </w:t>
      </w:r>
      <w:r w:rsidR="008E0389">
        <w:rPr>
          <w:rFonts w:ascii="Cambria" w:hAnsi="Cambria"/>
          <w:color w:val="000000"/>
        </w:rPr>
        <w:t xml:space="preserve">many moved out of Toronto </w:t>
      </w:r>
      <w:r w:rsidR="006647A5">
        <w:rPr>
          <w:rFonts w:ascii="Cambria" w:hAnsi="Cambria"/>
          <w:color w:val="000000"/>
        </w:rPr>
        <w:t xml:space="preserve">during high school to attend another board but eventually moved back to </w:t>
      </w:r>
      <w:r w:rsidR="008E0389">
        <w:rPr>
          <w:rFonts w:ascii="Cambria" w:hAnsi="Cambria"/>
          <w:color w:val="000000"/>
        </w:rPr>
        <w:t xml:space="preserve">the city </w:t>
      </w:r>
      <w:r w:rsidR="006647A5">
        <w:rPr>
          <w:rFonts w:ascii="Cambria" w:hAnsi="Cambria"/>
          <w:color w:val="000000"/>
        </w:rPr>
        <w:t xml:space="preserve">to attend UofT. </w:t>
      </w:r>
      <w:r w:rsidR="00653397">
        <w:rPr>
          <w:rFonts w:ascii="Cambria" w:hAnsi="Cambria"/>
          <w:color w:val="000000"/>
        </w:rPr>
        <w:t>In the interim, many attended a different postsecondary institution before electing to transfer to UofT.  The combination of those attributes – hav</w:t>
      </w:r>
      <w:r w:rsidR="008E0389">
        <w:rPr>
          <w:rFonts w:ascii="Cambria" w:hAnsi="Cambria"/>
          <w:color w:val="000000"/>
        </w:rPr>
        <w:t>ing</w:t>
      </w:r>
      <w:r w:rsidR="00653397">
        <w:rPr>
          <w:rFonts w:ascii="Cambria" w:hAnsi="Cambria"/>
          <w:color w:val="000000"/>
        </w:rPr>
        <w:t xml:space="preserve"> somewhat weaker academic</w:t>
      </w:r>
      <w:r w:rsidR="008E0389">
        <w:rPr>
          <w:rFonts w:ascii="Cambria" w:hAnsi="Cambria"/>
          <w:color w:val="000000"/>
        </w:rPr>
        <w:t xml:space="preserve"> profile</w:t>
      </w:r>
      <w:r w:rsidR="00653397">
        <w:rPr>
          <w:rFonts w:ascii="Cambria" w:hAnsi="Cambria"/>
          <w:color w:val="000000"/>
        </w:rPr>
        <w:t>s</w:t>
      </w:r>
      <w:r w:rsidR="008E0389">
        <w:rPr>
          <w:rFonts w:ascii="Cambria" w:hAnsi="Cambria"/>
          <w:color w:val="000000"/>
        </w:rPr>
        <w:t>,</w:t>
      </w:r>
      <w:r w:rsidR="00653397">
        <w:rPr>
          <w:rFonts w:ascii="Cambria" w:hAnsi="Cambria"/>
          <w:color w:val="000000"/>
        </w:rPr>
        <w:t xml:space="preserve"> coupled with geographic mobility – created a larger population of transfer students, </w:t>
      </w:r>
      <w:r w:rsidR="008E0389">
        <w:rPr>
          <w:rFonts w:ascii="Cambria" w:hAnsi="Cambria"/>
          <w:color w:val="000000"/>
        </w:rPr>
        <w:t xml:space="preserve">one with many students with </w:t>
      </w:r>
      <w:r w:rsidR="00653397">
        <w:rPr>
          <w:rFonts w:ascii="Cambria" w:hAnsi="Cambria"/>
          <w:color w:val="000000"/>
        </w:rPr>
        <w:t xml:space="preserve">unconventional high school </w:t>
      </w:r>
      <w:r w:rsidR="00653397">
        <w:rPr>
          <w:rFonts w:ascii="Cambria" w:hAnsi="Cambria"/>
          <w:color w:val="000000"/>
        </w:rPr>
        <w:lastRenderedPageBreak/>
        <w:t>academic profiles.</w:t>
      </w:r>
      <w:r w:rsidR="00067E01">
        <w:rPr>
          <w:rFonts w:ascii="Cambria" w:hAnsi="Cambria"/>
          <w:color w:val="000000"/>
        </w:rPr>
        <w:t xml:space="preserve">  As a result, the previous study had larger proportions of transfer students, and larger proportions of those students </w:t>
      </w:r>
      <w:r w:rsidR="008E0389">
        <w:rPr>
          <w:rFonts w:ascii="Cambria" w:hAnsi="Cambria"/>
          <w:color w:val="000000"/>
        </w:rPr>
        <w:t xml:space="preserve">with </w:t>
      </w:r>
      <w:r w:rsidR="00067E01">
        <w:rPr>
          <w:rFonts w:ascii="Cambria" w:hAnsi="Cambria"/>
          <w:color w:val="000000"/>
        </w:rPr>
        <w:t>academic challenges.</w:t>
      </w:r>
      <w:r w:rsidR="006647A5">
        <w:rPr>
          <w:rFonts w:ascii="Cambria" w:hAnsi="Cambria"/>
          <w:color w:val="000000"/>
        </w:rPr>
        <w:t xml:space="preserve">   </w:t>
      </w:r>
    </w:p>
    <w:p w14:paraId="7F1CD691" w14:textId="2AE04069" w:rsidR="00ED4F41" w:rsidRDefault="00ED4F41" w:rsidP="007E6F9B">
      <w:pPr>
        <w:spacing w:after="0"/>
        <w:ind w:left="120"/>
        <w:rPr>
          <w:rFonts w:ascii="Cambria" w:hAnsi="Cambria"/>
          <w:color w:val="000000"/>
        </w:rPr>
      </w:pPr>
    </w:p>
    <w:p w14:paraId="7813C858" w14:textId="62C8FD57" w:rsidR="00067E01" w:rsidRDefault="00067E01" w:rsidP="007E6F9B">
      <w:pPr>
        <w:spacing w:after="0"/>
        <w:ind w:left="120"/>
        <w:rPr>
          <w:rFonts w:ascii="Cambria" w:hAnsi="Cambria"/>
          <w:color w:val="000000"/>
        </w:rPr>
      </w:pPr>
      <w:r>
        <w:rPr>
          <w:rFonts w:ascii="Cambria" w:hAnsi="Cambria"/>
          <w:color w:val="000000"/>
        </w:rPr>
        <w:tab/>
      </w:r>
      <w:r w:rsidR="008E0389">
        <w:rPr>
          <w:rFonts w:ascii="Cambria" w:hAnsi="Cambria"/>
          <w:color w:val="000000"/>
        </w:rPr>
        <w:t>C</w:t>
      </w:r>
      <w:r>
        <w:rPr>
          <w:rFonts w:ascii="Cambria" w:hAnsi="Cambria"/>
          <w:color w:val="000000"/>
        </w:rPr>
        <w:t>ombining findings from the two</w:t>
      </w:r>
      <w:r w:rsidR="0061609C">
        <w:rPr>
          <w:rFonts w:ascii="Cambria" w:hAnsi="Cambria"/>
          <w:color w:val="000000"/>
        </w:rPr>
        <w:t xml:space="preserve"> </w:t>
      </w:r>
      <w:r>
        <w:rPr>
          <w:rFonts w:ascii="Cambria" w:hAnsi="Cambria"/>
          <w:color w:val="000000"/>
        </w:rPr>
        <w:t>s</w:t>
      </w:r>
      <w:r w:rsidR="0061609C">
        <w:rPr>
          <w:rFonts w:ascii="Cambria" w:hAnsi="Cambria"/>
          <w:color w:val="000000"/>
        </w:rPr>
        <w:t xml:space="preserve">tudies, </w:t>
      </w:r>
      <w:r w:rsidR="008E0389">
        <w:rPr>
          <w:rFonts w:ascii="Cambria" w:hAnsi="Cambria"/>
          <w:color w:val="000000"/>
        </w:rPr>
        <w:t xml:space="preserve">we can </w:t>
      </w:r>
      <w:r>
        <w:rPr>
          <w:rFonts w:ascii="Cambria" w:hAnsi="Cambria"/>
          <w:color w:val="000000"/>
        </w:rPr>
        <w:t>revise</w:t>
      </w:r>
      <w:r w:rsidR="008E0389">
        <w:rPr>
          <w:rFonts w:ascii="Cambria" w:hAnsi="Cambria"/>
          <w:color w:val="000000"/>
        </w:rPr>
        <w:t xml:space="preserve"> some </w:t>
      </w:r>
      <w:r>
        <w:rPr>
          <w:rFonts w:ascii="Cambria" w:hAnsi="Cambria"/>
          <w:color w:val="000000"/>
        </w:rPr>
        <w:t>conclusion</w:t>
      </w:r>
      <w:r w:rsidR="0061609C">
        <w:rPr>
          <w:rFonts w:ascii="Cambria" w:hAnsi="Cambria"/>
          <w:color w:val="000000"/>
        </w:rPr>
        <w:t>s</w:t>
      </w:r>
      <w:r>
        <w:rPr>
          <w:rFonts w:ascii="Cambria" w:hAnsi="Cambria"/>
          <w:color w:val="000000"/>
        </w:rPr>
        <w:t xml:space="preserve"> </w:t>
      </w:r>
      <w:r w:rsidR="0061609C">
        <w:rPr>
          <w:rFonts w:ascii="Cambria" w:hAnsi="Cambria"/>
          <w:color w:val="000000"/>
        </w:rPr>
        <w:t xml:space="preserve">regarding </w:t>
      </w:r>
      <w:r>
        <w:rPr>
          <w:rFonts w:ascii="Cambria" w:hAnsi="Cambria"/>
          <w:color w:val="000000"/>
        </w:rPr>
        <w:t xml:space="preserve">transfer students.  Rather than concluding that transfers face academic hurdles across the board, as </w:t>
      </w:r>
      <w:r w:rsidR="008E0389">
        <w:rPr>
          <w:rFonts w:ascii="Cambria" w:hAnsi="Cambria"/>
          <w:color w:val="000000"/>
        </w:rPr>
        <w:t xml:space="preserve">did </w:t>
      </w:r>
      <w:r w:rsidR="0061609C">
        <w:rPr>
          <w:rFonts w:ascii="Cambria" w:hAnsi="Cambria"/>
          <w:color w:val="000000"/>
        </w:rPr>
        <w:t>th</w:t>
      </w:r>
      <w:r>
        <w:rPr>
          <w:rFonts w:ascii="Cambria" w:hAnsi="Cambria"/>
          <w:color w:val="000000"/>
        </w:rPr>
        <w:t xml:space="preserve">e previous study, </w:t>
      </w:r>
      <w:r w:rsidR="008E0389">
        <w:rPr>
          <w:rFonts w:ascii="Cambria" w:hAnsi="Cambria"/>
          <w:color w:val="000000"/>
        </w:rPr>
        <w:t xml:space="preserve">it </w:t>
      </w:r>
      <w:r w:rsidR="0061609C">
        <w:rPr>
          <w:rFonts w:ascii="Cambria" w:hAnsi="Cambria"/>
          <w:color w:val="000000"/>
        </w:rPr>
        <w:t xml:space="preserve">now </w:t>
      </w:r>
      <w:r w:rsidR="008E0389">
        <w:rPr>
          <w:rFonts w:ascii="Cambria" w:hAnsi="Cambria"/>
          <w:color w:val="000000"/>
        </w:rPr>
        <w:t xml:space="preserve">appears </w:t>
      </w:r>
      <w:r>
        <w:rPr>
          <w:rFonts w:ascii="Cambria" w:hAnsi="Cambria"/>
          <w:color w:val="000000"/>
        </w:rPr>
        <w:t xml:space="preserve">that such challenges tend to </w:t>
      </w:r>
      <w:r w:rsidR="0061609C">
        <w:rPr>
          <w:rFonts w:ascii="Cambria" w:hAnsi="Cambria"/>
          <w:color w:val="000000"/>
        </w:rPr>
        <w:t xml:space="preserve">be </w:t>
      </w:r>
      <w:r>
        <w:rPr>
          <w:rFonts w:ascii="Cambria" w:hAnsi="Cambria"/>
          <w:color w:val="000000"/>
        </w:rPr>
        <w:t>a) largely limited to transfer</w:t>
      </w:r>
      <w:r w:rsidR="0061609C">
        <w:rPr>
          <w:rFonts w:ascii="Cambria" w:hAnsi="Cambria"/>
          <w:color w:val="000000"/>
        </w:rPr>
        <w:t>s</w:t>
      </w:r>
      <w:r>
        <w:rPr>
          <w:rFonts w:ascii="Cambria" w:hAnsi="Cambria"/>
          <w:color w:val="000000"/>
        </w:rPr>
        <w:t xml:space="preserve"> from Ontario community colleges, </w:t>
      </w:r>
      <w:r w:rsidR="00EA5274">
        <w:rPr>
          <w:rFonts w:ascii="Cambria" w:hAnsi="Cambria"/>
          <w:color w:val="000000"/>
        </w:rPr>
        <w:t>and b) those</w:t>
      </w:r>
      <w:r w:rsidR="0061609C">
        <w:rPr>
          <w:rFonts w:ascii="Cambria" w:hAnsi="Cambria"/>
          <w:color w:val="000000"/>
        </w:rPr>
        <w:t xml:space="preserve"> with histories of additional geographic mobility</w:t>
      </w:r>
      <w:r w:rsidR="00EA5274">
        <w:rPr>
          <w:rFonts w:ascii="Cambria" w:hAnsi="Cambria"/>
          <w:color w:val="000000"/>
        </w:rPr>
        <w:t xml:space="preserve">. Further, we can now conclude </w:t>
      </w:r>
      <w:r w:rsidR="0061609C">
        <w:rPr>
          <w:rFonts w:ascii="Cambria" w:hAnsi="Cambria"/>
          <w:color w:val="000000"/>
        </w:rPr>
        <w:t>that c) being awarded transfer credits boost</w:t>
      </w:r>
      <w:r w:rsidR="00EA5274">
        <w:rPr>
          <w:rFonts w:ascii="Cambria" w:hAnsi="Cambria"/>
          <w:color w:val="000000"/>
        </w:rPr>
        <w:t>s</w:t>
      </w:r>
      <w:r w:rsidR="0061609C">
        <w:rPr>
          <w:rFonts w:ascii="Cambria" w:hAnsi="Cambria"/>
          <w:color w:val="000000"/>
        </w:rPr>
        <w:t xml:space="preserve"> student outcomes at university, and in particular can help </w:t>
      </w:r>
      <w:r w:rsidR="00EA5274">
        <w:rPr>
          <w:rFonts w:ascii="Cambria" w:hAnsi="Cambria"/>
          <w:color w:val="000000"/>
        </w:rPr>
        <w:t xml:space="preserve">those from </w:t>
      </w:r>
      <w:r w:rsidR="0061609C">
        <w:rPr>
          <w:rFonts w:ascii="Cambria" w:hAnsi="Cambria"/>
          <w:color w:val="000000"/>
        </w:rPr>
        <w:t>community colleges narrow graduation gaps between themselves and other students.</w:t>
      </w:r>
      <w:r>
        <w:rPr>
          <w:rFonts w:ascii="Cambria" w:hAnsi="Cambria"/>
          <w:color w:val="000000"/>
        </w:rPr>
        <w:t xml:space="preserve"> </w:t>
      </w:r>
    </w:p>
    <w:p w14:paraId="6F5753A1" w14:textId="77777777" w:rsidR="00067E01" w:rsidRDefault="00067E01" w:rsidP="007E6F9B">
      <w:pPr>
        <w:spacing w:after="0"/>
        <w:ind w:left="120"/>
        <w:rPr>
          <w:rFonts w:ascii="Cambria" w:hAnsi="Cambria"/>
          <w:color w:val="000000"/>
        </w:rPr>
      </w:pPr>
    </w:p>
    <w:p w14:paraId="268BC6C8" w14:textId="77777777" w:rsidR="00EA5274" w:rsidRDefault="00EA5274" w:rsidP="007E6F9B">
      <w:pPr>
        <w:spacing w:after="0"/>
        <w:ind w:left="120"/>
        <w:rPr>
          <w:rFonts w:ascii="Cambria" w:hAnsi="Cambria"/>
          <w:color w:val="000000"/>
        </w:rPr>
      </w:pPr>
      <w:r>
        <w:rPr>
          <w:rFonts w:ascii="Cambria" w:hAnsi="Cambria"/>
          <w:color w:val="000000"/>
        </w:rPr>
        <w:tab/>
        <w:t xml:space="preserve">Both datasets suggested that community college </w:t>
      </w:r>
      <w:r w:rsidR="009D3E3C">
        <w:rPr>
          <w:rFonts w:ascii="Cambria" w:hAnsi="Cambria"/>
          <w:color w:val="000000"/>
        </w:rPr>
        <w:t>transfer</w:t>
      </w:r>
      <w:r w:rsidR="00DF01F6">
        <w:rPr>
          <w:rFonts w:ascii="Cambria" w:hAnsi="Cambria"/>
          <w:color w:val="000000"/>
        </w:rPr>
        <w:t>s</w:t>
      </w:r>
      <w:r w:rsidR="00C73D91">
        <w:rPr>
          <w:rFonts w:ascii="Cambria" w:hAnsi="Cambria"/>
          <w:color w:val="000000"/>
        </w:rPr>
        <w:t xml:space="preserve"> f</w:t>
      </w:r>
      <w:r w:rsidR="00DF01F6">
        <w:rPr>
          <w:rFonts w:ascii="Cambria" w:hAnsi="Cambria"/>
          <w:color w:val="000000"/>
        </w:rPr>
        <w:t xml:space="preserve">ace </w:t>
      </w:r>
      <w:r w:rsidR="00C32D42">
        <w:rPr>
          <w:rFonts w:ascii="Cambria" w:hAnsi="Cambria"/>
          <w:color w:val="000000"/>
        </w:rPr>
        <w:t>deep</w:t>
      </w:r>
      <w:r w:rsidR="00C73D91">
        <w:rPr>
          <w:rFonts w:ascii="Cambria" w:hAnsi="Cambria"/>
          <w:color w:val="000000"/>
        </w:rPr>
        <w:t>er</w:t>
      </w:r>
      <w:r w:rsidR="00C32D42">
        <w:rPr>
          <w:rFonts w:ascii="Cambria" w:hAnsi="Cambria"/>
          <w:color w:val="000000"/>
        </w:rPr>
        <w:t xml:space="preserve"> </w:t>
      </w:r>
      <w:r w:rsidR="00C73D91">
        <w:rPr>
          <w:rFonts w:ascii="Cambria" w:hAnsi="Cambria"/>
          <w:color w:val="000000"/>
        </w:rPr>
        <w:t xml:space="preserve">social and academic </w:t>
      </w:r>
      <w:r w:rsidR="009D3E3C">
        <w:rPr>
          <w:rFonts w:ascii="Cambria" w:hAnsi="Cambria"/>
          <w:color w:val="000000"/>
        </w:rPr>
        <w:t>challenges</w:t>
      </w:r>
      <w:r w:rsidR="00DF01F6">
        <w:rPr>
          <w:rFonts w:ascii="Cambria" w:hAnsi="Cambria"/>
          <w:color w:val="000000"/>
        </w:rPr>
        <w:t xml:space="preserve"> </w:t>
      </w:r>
      <w:r w:rsidR="00C73D91">
        <w:rPr>
          <w:rFonts w:ascii="Cambria" w:hAnsi="Cambria"/>
          <w:color w:val="000000"/>
        </w:rPr>
        <w:t xml:space="preserve">than do </w:t>
      </w:r>
      <w:r w:rsidR="00976771">
        <w:rPr>
          <w:rFonts w:ascii="Cambria" w:hAnsi="Cambria"/>
          <w:color w:val="000000"/>
        </w:rPr>
        <w:t>direct entry students</w:t>
      </w:r>
      <w:r w:rsidR="00DF01F6">
        <w:rPr>
          <w:rFonts w:ascii="Cambria" w:hAnsi="Cambria"/>
          <w:color w:val="000000"/>
        </w:rPr>
        <w:t xml:space="preserve">. </w:t>
      </w:r>
      <w:r>
        <w:rPr>
          <w:rFonts w:ascii="Cambria" w:hAnsi="Cambria"/>
          <w:color w:val="000000"/>
        </w:rPr>
        <w:t>All t</w:t>
      </w:r>
      <w:r w:rsidR="00E95D93">
        <w:rPr>
          <w:rFonts w:ascii="Cambria" w:hAnsi="Cambria"/>
          <w:color w:val="000000"/>
        </w:rPr>
        <w:t>r</w:t>
      </w:r>
      <w:r w:rsidR="00C32D42">
        <w:rPr>
          <w:rFonts w:ascii="Cambria" w:hAnsi="Cambria"/>
          <w:color w:val="000000"/>
        </w:rPr>
        <w:t>ansfers</w:t>
      </w:r>
      <w:r w:rsidR="00E95D93">
        <w:rPr>
          <w:rFonts w:ascii="Cambria" w:hAnsi="Cambria"/>
          <w:color w:val="000000"/>
        </w:rPr>
        <w:t xml:space="preserve"> incur financial and social costs </w:t>
      </w:r>
      <w:r>
        <w:rPr>
          <w:rFonts w:ascii="Cambria" w:hAnsi="Cambria"/>
          <w:color w:val="000000"/>
        </w:rPr>
        <w:t>when they</w:t>
      </w:r>
      <w:r w:rsidR="00DF01F6">
        <w:rPr>
          <w:rFonts w:ascii="Cambria" w:hAnsi="Cambria"/>
          <w:color w:val="000000"/>
        </w:rPr>
        <w:t xml:space="preserve"> </w:t>
      </w:r>
      <w:r w:rsidR="00976771">
        <w:rPr>
          <w:rFonts w:ascii="Cambria" w:hAnsi="Cambria"/>
          <w:color w:val="000000"/>
        </w:rPr>
        <w:t>mov</w:t>
      </w:r>
      <w:r>
        <w:rPr>
          <w:rFonts w:ascii="Cambria" w:hAnsi="Cambria"/>
          <w:color w:val="000000"/>
        </w:rPr>
        <w:t>e</w:t>
      </w:r>
      <w:r w:rsidR="00976771">
        <w:rPr>
          <w:rFonts w:ascii="Cambria" w:hAnsi="Cambria"/>
          <w:color w:val="000000"/>
        </w:rPr>
        <w:t xml:space="preserve"> </w:t>
      </w:r>
      <w:r w:rsidR="00E628C7">
        <w:rPr>
          <w:rFonts w:ascii="Cambria" w:hAnsi="Cambria"/>
          <w:color w:val="000000"/>
        </w:rPr>
        <w:t>residen</w:t>
      </w:r>
      <w:r w:rsidR="00976771">
        <w:rPr>
          <w:rFonts w:ascii="Cambria" w:hAnsi="Cambria"/>
          <w:color w:val="000000"/>
        </w:rPr>
        <w:t>ces,</w:t>
      </w:r>
      <w:r w:rsidR="00DF01F6">
        <w:rPr>
          <w:rFonts w:ascii="Cambria" w:hAnsi="Cambria"/>
          <w:color w:val="000000"/>
        </w:rPr>
        <w:t xml:space="preserve"> </w:t>
      </w:r>
      <w:r w:rsidR="00E95D93">
        <w:rPr>
          <w:rFonts w:ascii="Cambria" w:hAnsi="Cambria"/>
          <w:color w:val="000000"/>
        </w:rPr>
        <w:t xml:space="preserve">experience </w:t>
      </w:r>
      <w:r w:rsidR="00C32D42">
        <w:rPr>
          <w:rFonts w:ascii="Cambria" w:hAnsi="Cambria"/>
          <w:color w:val="000000"/>
        </w:rPr>
        <w:t xml:space="preserve">strains </w:t>
      </w:r>
      <w:r w:rsidR="00E95D93">
        <w:rPr>
          <w:rFonts w:ascii="Cambria" w:hAnsi="Cambria"/>
          <w:color w:val="000000"/>
        </w:rPr>
        <w:t>from</w:t>
      </w:r>
      <w:r w:rsidR="00C32D42">
        <w:rPr>
          <w:rFonts w:ascii="Cambria" w:hAnsi="Cambria"/>
          <w:color w:val="000000"/>
        </w:rPr>
        <w:t xml:space="preserve"> </w:t>
      </w:r>
      <w:r w:rsidR="00976771">
        <w:rPr>
          <w:rFonts w:ascii="Cambria" w:hAnsi="Cambria"/>
          <w:color w:val="000000"/>
        </w:rPr>
        <w:t xml:space="preserve">losing old peer </w:t>
      </w:r>
      <w:r w:rsidR="00C32D42">
        <w:rPr>
          <w:rFonts w:ascii="Cambria" w:hAnsi="Cambria"/>
          <w:color w:val="000000"/>
        </w:rPr>
        <w:t>networks,</w:t>
      </w:r>
      <w:r w:rsidR="00E628C7">
        <w:rPr>
          <w:rFonts w:ascii="Cambria" w:hAnsi="Cambria"/>
          <w:color w:val="000000"/>
        </w:rPr>
        <w:t xml:space="preserve"> </w:t>
      </w:r>
      <w:r w:rsidR="00C32D42">
        <w:rPr>
          <w:rFonts w:ascii="Cambria" w:hAnsi="Cambria"/>
          <w:color w:val="000000"/>
        </w:rPr>
        <w:t>and</w:t>
      </w:r>
      <w:r w:rsidR="00DF01F6">
        <w:rPr>
          <w:rFonts w:ascii="Cambria" w:hAnsi="Cambria"/>
          <w:color w:val="000000"/>
        </w:rPr>
        <w:t xml:space="preserve"> </w:t>
      </w:r>
      <w:r w:rsidR="00E95D93">
        <w:rPr>
          <w:rFonts w:ascii="Cambria" w:hAnsi="Cambria"/>
          <w:color w:val="000000"/>
        </w:rPr>
        <w:t xml:space="preserve">encounter </w:t>
      </w:r>
      <w:r w:rsidR="00E628C7">
        <w:rPr>
          <w:rFonts w:ascii="Cambria" w:hAnsi="Cambria"/>
          <w:color w:val="000000"/>
        </w:rPr>
        <w:t>stress</w:t>
      </w:r>
      <w:r w:rsidR="00C32D42">
        <w:rPr>
          <w:rFonts w:ascii="Cambria" w:hAnsi="Cambria"/>
          <w:color w:val="000000"/>
        </w:rPr>
        <w:t xml:space="preserve"> </w:t>
      </w:r>
      <w:r w:rsidR="00976771">
        <w:rPr>
          <w:rFonts w:ascii="Cambria" w:hAnsi="Cambria"/>
          <w:color w:val="000000"/>
        </w:rPr>
        <w:t xml:space="preserve">as they </w:t>
      </w:r>
      <w:r w:rsidR="00E95D93">
        <w:rPr>
          <w:rFonts w:ascii="Cambria" w:hAnsi="Cambria"/>
          <w:color w:val="000000"/>
        </w:rPr>
        <w:t>cope</w:t>
      </w:r>
      <w:r w:rsidR="00976771">
        <w:rPr>
          <w:rFonts w:ascii="Cambria" w:hAnsi="Cambria"/>
          <w:color w:val="000000"/>
        </w:rPr>
        <w:t xml:space="preserve"> with UofT’s</w:t>
      </w:r>
      <w:r w:rsidR="00E628C7">
        <w:rPr>
          <w:rFonts w:ascii="Cambria" w:hAnsi="Cambria"/>
          <w:color w:val="000000"/>
        </w:rPr>
        <w:t xml:space="preserve"> co</w:t>
      </w:r>
      <w:r w:rsidR="00E95D93">
        <w:rPr>
          <w:rFonts w:ascii="Cambria" w:hAnsi="Cambria"/>
          <w:color w:val="000000"/>
        </w:rPr>
        <w:t>mpetitive</w:t>
      </w:r>
      <w:r w:rsidR="00E628C7">
        <w:rPr>
          <w:rFonts w:ascii="Cambria" w:hAnsi="Cambria"/>
          <w:color w:val="000000"/>
        </w:rPr>
        <w:t xml:space="preserve"> </w:t>
      </w:r>
      <w:r w:rsidR="00976771">
        <w:rPr>
          <w:rFonts w:ascii="Cambria" w:hAnsi="Cambria"/>
          <w:color w:val="000000"/>
        </w:rPr>
        <w:t>environment</w:t>
      </w:r>
      <w:r w:rsidR="00E628C7">
        <w:rPr>
          <w:rFonts w:ascii="Cambria" w:hAnsi="Cambria"/>
          <w:color w:val="000000"/>
        </w:rPr>
        <w:t xml:space="preserve">. </w:t>
      </w:r>
      <w:r>
        <w:rPr>
          <w:rFonts w:ascii="Cambria" w:hAnsi="Cambria"/>
          <w:color w:val="000000"/>
        </w:rPr>
        <w:t xml:space="preserve">Many transfer students travel along meandering routes before entering UofT, some leaving TDSB for another school board or a private school, and all changing institution after secondary school, often taking longer times to complete their studies in both high school and university. </w:t>
      </w:r>
    </w:p>
    <w:p w14:paraId="03B83A76" w14:textId="4DA76223" w:rsidR="00EA5274" w:rsidRDefault="00EA5274" w:rsidP="007E6F9B">
      <w:pPr>
        <w:spacing w:after="0"/>
        <w:ind w:left="120"/>
        <w:rPr>
          <w:rFonts w:ascii="Cambria" w:hAnsi="Cambria"/>
          <w:color w:val="000000"/>
        </w:rPr>
      </w:pPr>
    </w:p>
    <w:p w14:paraId="2B4DCAB6" w14:textId="6A19BC8A" w:rsidR="007E6F9B" w:rsidRPr="007E6F9B" w:rsidRDefault="00EA5274" w:rsidP="007E6F9B">
      <w:pPr>
        <w:spacing w:after="0"/>
        <w:ind w:left="120"/>
        <w:rPr>
          <w:rFonts w:ascii="Cambria" w:hAnsi="Cambria"/>
          <w:color w:val="000000"/>
        </w:rPr>
      </w:pPr>
      <w:r>
        <w:rPr>
          <w:rFonts w:ascii="Cambria" w:hAnsi="Cambria"/>
          <w:color w:val="000000"/>
        </w:rPr>
        <w:tab/>
        <w:t>But community college transfers experience these strains w</w:t>
      </w:r>
      <w:r w:rsidR="00C83500">
        <w:rPr>
          <w:rFonts w:ascii="Cambria" w:hAnsi="Cambria"/>
          <w:color w:val="000000"/>
        </w:rPr>
        <w:t xml:space="preserve">hile also </w:t>
      </w:r>
      <w:r>
        <w:rPr>
          <w:rFonts w:ascii="Cambria" w:hAnsi="Cambria"/>
          <w:color w:val="000000"/>
        </w:rPr>
        <w:t xml:space="preserve">often lacking the same academic preparation for university enjoyed by their peers. Many of their challenges stem from receiving </w:t>
      </w:r>
      <w:r w:rsidR="00C83500">
        <w:rPr>
          <w:rFonts w:ascii="Cambria" w:hAnsi="Cambria"/>
          <w:color w:val="000000"/>
        </w:rPr>
        <w:t>in</w:t>
      </w:r>
      <w:r>
        <w:rPr>
          <w:rFonts w:ascii="Cambria" w:hAnsi="Cambria"/>
          <w:color w:val="000000"/>
        </w:rPr>
        <w:t xml:space="preserve">sufficient credit for previous work. But many also stem from their complex life transitions. </w:t>
      </w:r>
      <w:r w:rsidR="009D3E3C">
        <w:rPr>
          <w:rFonts w:ascii="Cambria" w:hAnsi="Cambria"/>
          <w:color w:val="000000"/>
        </w:rPr>
        <w:t xml:space="preserve">Indeed, </w:t>
      </w:r>
      <w:r w:rsidR="00E95D93">
        <w:rPr>
          <w:rFonts w:ascii="Cambria" w:hAnsi="Cambria"/>
          <w:color w:val="000000"/>
        </w:rPr>
        <w:t>transfer</w:t>
      </w:r>
      <w:r w:rsidR="00E628C7">
        <w:rPr>
          <w:rFonts w:ascii="Cambria" w:hAnsi="Cambria"/>
          <w:color w:val="000000"/>
        </w:rPr>
        <w:t xml:space="preserve"> </w:t>
      </w:r>
      <w:r w:rsidR="00DF01F6">
        <w:rPr>
          <w:rFonts w:ascii="Cambria" w:hAnsi="Cambria"/>
          <w:color w:val="000000"/>
        </w:rPr>
        <w:t xml:space="preserve">status </w:t>
      </w:r>
      <w:r w:rsidR="00976771">
        <w:rPr>
          <w:rFonts w:ascii="Cambria" w:hAnsi="Cambria"/>
          <w:color w:val="000000"/>
        </w:rPr>
        <w:t>itself may be a symptom of</w:t>
      </w:r>
      <w:r w:rsidR="00E628C7">
        <w:rPr>
          <w:rFonts w:ascii="Cambria" w:hAnsi="Cambria"/>
          <w:color w:val="000000"/>
        </w:rPr>
        <w:t xml:space="preserve"> underlying </w:t>
      </w:r>
      <w:r w:rsidR="00E95D93">
        <w:rPr>
          <w:rFonts w:ascii="Cambria" w:hAnsi="Cambria"/>
          <w:color w:val="000000"/>
        </w:rPr>
        <w:t>instabilit</w:t>
      </w:r>
      <w:r w:rsidR="00976771">
        <w:rPr>
          <w:rFonts w:ascii="Cambria" w:hAnsi="Cambria"/>
          <w:color w:val="000000"/>
        </w:rPr>
        <w:t xml:space="preserve">ies </w:t>
      </w:r>
      <w:r w:rsidR="00E95D93">
        <w:rPr>
          <w:rFonts w:ascii="Cambria" w:hAnsi="Cambria"/>
          <w:color w:val="000000"/>
        </w:rPr>
        <w:t xml:space="preserve">in some students’ </w:t>
      </w:r>
      <w:r w:rsidR="00E628C7">
        <w:rPr>
          <w:rFonts w:ascii="Cambria" w:hAnsi="Cambria"/>
          <w:color w:val="000000"/>
        </w:rPr>
        <w:t>li</w:t>
      </w:r>
      <w:r w:rsidR="00E95D93">
        <w:rPr>
          <w:rFonts w:ascii="Cambria" w:hAnsi="Cambria"/>
          <w:color w:val="000000"/>
        </w:rPr>
        <w:t>ves</w:t>
      </w:r>
      <w:r w:rsidR="00C32D42">
        <w:rPr>
          <w:rFonts w:ascii="Cambria" w:hAnsi="Cambria"/>
          <w:color w:val="000000"/>
        </w:rPr>
        <w:t xml:space="preserve">. </w:t>
      </w:r>
      <w:r>
        <w:rPr>
          <w:rFonts w:ascii="Cambria" w:hAnsi="Cambria"/>
          <w:color w:val="000000"/>
        </w:rPr>
        <w:t xml:space="preserve"> </w:t>
      </w:r>
      <w:r w:rsidR="00976771">
        <w:rPr>
          <w:rFonts w:ascii="Cambria" w:hAnsi="Cambria"/>
          <w:color w:val="000000"/>
        </w:rPr>
        <w:t>Th</w:t>
      </w:r>
      <w:r w:rsidR="00113A27">
        <w:rPr>
          <w:rFonts w:ascii="Cambria" w:hAnsi="Cambria"/>
          <w:color w:val="000000"/>
        </w:rPr>
        <w:t>ese ideas should not be exaggerated</w:t>
      </w:r>
      <w:r>
        <w:rPr>
          <w:rFonts w:ascii="Cambria" w:hAnsi="Cambria"/>
          <w:color w:val="000000"/>
        </w:rPr>
        <w:t>;</w:t>
      </w:r>
      <w:r w:rsidR="00976771">
        <w:rPr>
          <w:rFonts w:ascii="Cambria" w:hAnsi="Cambria"/>
          <w:color w:val="000000"/>
        </w:rPr>
        <w:t xml:space="preserve"> </w:t>
      </w:r>
      <w:r>
        <w:rPr>
          <w:rFonts w:ascii="Cambria" w:hAnsi="Cambria"/>
          <w:color w:val="000000"/>
        </w:rPr>
        <w:t>t</w:t>
      </w:r>
      <w:r w:rsidR="00C32D42">
        <w:rPr>
          <w:rFonts w:ascii="Cambria" w:hAnsi="Cambria"/>
          <w:color w:val="000000"/>
        </w:rPr>
        <w:t xml:space="preserve">he majority of </w:t>
      </w:r>
      <w:r>
        <w:rPr>
          <w:rFonts w:ascii="Cambria" w:hAnsi="Cambria"/>
          <w:color w:val="000000"/>
        </w:rPr>
        <w:t xml:space="preserve">community college </w:t>
      </w:r>
      <w:r w:rsidR="00C32D42">
        <w:rPr>
          <w:rFonts w:ascii="Cambria" w:hAnsi="Cambria"/>
          <w:color w:val="000000"/>
        </w:rPr>
        <w:t>transfer</w:t>
      </w:r>
      <w:r>
        <w:rPr>
          <w:rFonts w:ascii="Cambria" w:hAnsi="Cambria"/>
          <w:color w:val="000000"/>
        </w:rPr>
        <w:t>s</w:t>
      </w:r>
      <w:r w:rsidR="00113A27">
        <w:rPr>
          <w:rFonts w:ascii="Cambria" w:hAnsi="Cambria"/>
          <w:color w:val="000000"/>
        </w:rPr>
        <w:t xml:space="preserve"> </w:t>
      </w:r>
      <w:r w:rsidR="00976771">
        <w:rPr>
          <w:rFonts w:ascii="Cambria" w:hAnsi="Cambria"/>
          <w:color w:val="000000"/>
        </w:rPr>
        <w:t>ha</w:t>
      </w:r>
      <w:r w:rsidR="00113A27">
        <w:rPr>
          <w:rFonts w:ascii="Cambria" w:hAnsi="Cambria"/>
          <w:color w:val="000000"/>
        </w:rPr>
        <w:t>d</w:t>
      </w:r>
      <w:r w:rsidR="00E628C7">
        <w:rPr>
          <w:rFonts w:ascii="Cambria" w:hAnsi="Cambria"/>
          <w:color w:val="000000"/>
        </w:rPr>
        <w:t xml:space="preserve"> good high school academic records</w:t>
      </w:r>
      <w:r>
        <w:rPr>
          <w:rFonts w:ascii="Cambria" w:hAnsi="Cambria"/>
          <w:color w:val="000000"/>
        </w:rPr>
        <w:t xml:space="preserve"> and more than half </w:t>
      </w:r>
      <w:r w:rsidR="006A3456">
        <w:rPr>
          <w:rFonts w:ascii="Cambria" w:hAnsi="Cambria"/>
          <w:color w:val="000000"/>
        </w:rPr>
        <w:t>managed to</w:t>
      </w:r>
      <w:r w:rsidR="00C32D42">
        <w:rPr>
          <w:rFonts w:ascii="Cambria" w:hAnsi="Cambria"/>
          <w:color w:val="000000"/>
        </w:rPr>
        <w:t xml:space="preserve"> complete their degrees.</w:t>
      </w:r>
      <w:r w:rsidR="006A3456">
        <w:rPr>
          <w:rFonts w:ascii="Cambria" w:hAnsi="Cambria"/>
          <w:color w:val="000000"/>
        </w:rPr>
        <w:t xml:space="preserve"> This implies that two broad types of </w:t>
      </w:r>
      <w:r>
        <w:rPr>
          <w:rFonts w:ascii="Cambria" w:hAnsi="Cambria"/>
          <w:color w:val="000000"/>
        </w:rPr>
        <w:t xml:space="preserve">college </w:t>
      </w:r>
      <w:r w:rsidR="006A3456">
        <w:rPr>
          <w:rFonts w:ascii="Cambria" w:hAnsi="Cambria"/>
          <w:color w:val="000000"/>
        </w:rPr>
        <w:t xml:space="preserve">transfer students exist. </w:t>
      </w:r>
      <w:r>
        <w:rPr>
          <w:rFonts w:ascii="Cambria" w:hAnsi="Cambria"/>
          <w:color w:val="000000"/>
        </w:rPr>
        <w:t xml:space="preserve">About half are able to </w:t>
      </w:r>
      <w:r w:rsidR="006A3456">
        <w:rPr>
          <w:rFonts w:ascii="Cambria" w:hAnsi="Cambria"/>
          <w:color w:val="000000"/>
        </w:rPr>
        <w:t xml:space="preserve">remain 'on-track' after </w:t>
      </w:r>
      <w:r>
        <w:rPr>
          <w:rFonts w:ascii="Cambria" w:hAnsi="Cambria"/>
          <w:color w:val="000000"/>
        </w:rPr>
        <w:t>transferring</w:t>
      </w:r>
      <w:r w:rsidR="006A3456">
        <w:rPr>
          <w:rFonts w:ascii="Cambria" w:hAnsi="Cambria"/>
          <w:color w:val="000000"/>
        </w:rPr>
        <w:t xml:space="preserve">, particularly </w:t>
      </w:r>
      <w:r>
        <w:rPr>
          <w:rFonts w:ascii="Cambria" w:hAnsi="Cambria"/>
          <w:color w:val="000000"/>
        </w:rPr>
        <w:t xml:space="preserve">when </w:t>
      </w:r>
      <w:r w:rsidR="006A3456">
        <w:rPr>
          <w:rFonts w:ascii="Cambria" w:hAnsi="Cambria"/>
          <w:color w:val="000000"/>
        </w:rPr>
        <w:t xml:space="preserve">they can leverage credits granted from their previous institutions. But </w:t>
      </w:r>
      <w:r>
        <w:rPr>
          <w:rFonts w:ascii="Cambria" w:hAnsi="Cambria"/>
          <w:color w:val="000000"/>
        </w:rPr>
        <w:t xml:space="preserve">the other half </w:t>
      </w:r>
      <w:r w:rsidR="006A3456">
        <w:rPr>
          <w:rFonts w:ascii="Cambria" w:hAnsi="Cambria"/>
          <w:color w:val="000000"/>
        </w:rPr>
        <w:t xml:space="preserve">become 'off-track' and fail to graduate. They enter </w:t>
      </w:r>
      <w:r w:rsidR="00C32D42">
        <w:rPr>
          <w:rFonts w:ascii="Cambria" w:hAnsi="Cambria"/>
          <w:color w:val="000000"/>
        </w:rPr>
        <w:t>UofT</w:t>
      </w:r>
      <w:r w:rsidR="006A3456">
        <w:rPr>
          <w:rFonts w:ascii="Cambria" w:hAnsi="Cambria"/>
          <w:color w:val="000000"/>
        </w:rPr>
        <w:t xml:space="preserve"> already with fewer academic resources than others, and are granted fewer transfer credits than their university counterparts</w:t>
      </w:r>
      <w:r w:rsidR="004F6566">
        <w:rPr>
          <w:rFonts w:ascii="Cambria" w:hAnsi="Cambria"/>
          <w:color w:val="000000"/>
        </w:rPr>
        <w:t xml:space="preserve">. </w:t>
      </w:r>
      <w:r w:rsidR="00993474">
        <w:rPr>
          <w:rFonts w:ascii="Cambria" w:hAnsi="Cambria"/>
          <w:color w:val="000000"/>
        </w:rPr>
        <w:t xml:space="preserve"> </w:t>
      </w:r>
      <w:r w:rsidR="00E017F3">
        <w:rPr>
          <w:rFonts w:ascii="Cambria" w:hAnsi="Cambria"/>
          <w:color w:val="000000"/>
        </w:rPr>
        <w:t>Th</w:t>
      </w:r>
      <w:r w:rsidR="006A3456">
        <w:rPr>
          <w:rFonts w:ascii="Cambria" w:hAnsi="Cambria"/>
          <w:color w:val="000000"/>
        </w:rPr>
        <w:t>ey swim upstream within the TDSB-UofT pathway</w:t>
      </w:r>
      <w:r>
        <w:rPr>
          <w:rFonts w:ascii="Cambria" w:hAnsi="Cambria"/>
          <w:color w:val="000000"/>
        </w:rPr>
        <w:t xml:space="preserve"> </w:t>
      </w:r>
      <w:r w:rsidR="006A3456">
        <w:rPr>
          <w:rFonts w:ascii="Cambria" w:hAnsi="Cambria"/>
          <w:color w:val="000000"/>
        </w:rPr>
        <w:t xml:space="preserve">and </w:t>
      </w:r>
      <w:r>
        <w:rPr>
          <w:rFonts w:ascii="Cambria" w:hAnsi="Cambria"/>
          <w:color w:val="000000"/>
        </w:rPr>
        <w:t xml:space="preserve">are </w:t>
      </w:r>
      <w:r w:rsidR="00E017F3">
        <w:rPr>
          <w:rFonts w:ascii="Cambria" w:hAnsi="Cambria"/>
          <w:color w:val="000000"/>
        </w:rPr>
        <w:t>at risk of being left behind</w:t>
      </w:r>
      <w:r w:rsidR="00113A27">
        <w:rPr>
          <w:rFonts w:ascii="Cambria" w:hAnsi="Cambria"/>
          <w:color w:val="000000"/>
        </w:rPr>
        <w:t>.</w:t>
      </w:r>
    </w:p>
    <w:p w14:paraId="626677D7" w14:textId="46BFA378" w:rsidR="0016094C" w:rsidRDefault="0016094C" w:rsidP="0016094C">
      <w:pPr>
        <w:spacing w:after="0"/>
        <w:ind w:left="120"/>
        <w:rPr>
          <w:rFonts w:ascii="Cambria" w:hAnsi="Cambria"/>
          <w:color w:val="000000"/>
        </w:rPr>
      </w:pPr>
    </w:p>
    <w:p w14:paraId="10105723" w14:textId="1118DC18" w:rsidR="00F14699" w:rsidRDefault="00514A9A" w:rsidP="00514A9A">
      <w:pPr>
        <w:spacing w:after="0"/>
        <w:ind w:left="120"/>
        <w:jc w:val="center"/>
      </w:pPr>
      <w:r>
        <w:rPr>
          <w:rFonts w:ascii="Cambria" w:hAnsi="Cambria"/>
          <w:b/>
          <w:color w:val="000000"/>
        </w:rPr>
        <w:t xml:space="preserve">Conclusion: </w:t>
      </w:r>
      <w:r w:rsidR="00354CA1">
        <w:rPr>
          <w:rFonts w:ascii="Cambria" w:hAnsi="Cambria"/>
          <w:b/>
          <w:color w:val="000000"/>
        </w:rPr>
        <w:t xml:space="preserve">Implications for </w:t>
      </w:r>
      <w:r w:rsidR="00DE73F3">
        <w:rPr>
          <w:rFonts w:ascii="Cambria" w:hAnsi="Cambria"/>
          <w:b/>
          <w:color w:val="000000"/>
        </w:rPr>
        <w:t xml:space="preserve">Policy </w:t>
      </w:r>
      <w:r w:rsidR="00C66C10">
        <w:rPr>
          <w:rFonts w:ascii="Cambria" w:hAnsi="Cambria"/>
          <w:b/>
          <w:color w:val="000000"/>
        </w:rPr>
        <w:t>and Future Resea</w:t>
      </w:r>
      <w:r w:rsidR="00354CA1">
        <w:rPr>
          <w:rFonts w:ascii="Cambria" w:hAnsi="Cambria"/>
          <w:b/>
          <w:color w:val="000000"/>
        </w:rPr>
        <w:t>rch</w:t>
      </w:r>
    </w:p>
    <w:p w14:paraId="56909183" w14:textId="77777777" w:rsidR="00354CA1" w:rsidRDefault="00354CA1" w:rsidP="00C66C10">
      <w:pPr>
        <w:spacing w:after="0"/>
        <w:ind w:left="120"/>
        <w:rPr>
          <w:rFonts w:ascii="Cambria" w:hAnsi="Cambria"/>
          <w:color w:val="000000"/>
        </w:rPr>
      </w:pPr>
      <w:r>
        <w:rPr>
          <w:rFonts w:ascii="Cambria" w:hAnsi="Cambria"/>
          <w:b/>
          <w:color w:val="000000"/>
        </w:rPr>
        <w:tab/>
      </w:r>
      <w:r w:rsidRPr="00354CA1">
        <w:rPr>
          <w:rFonts w:ascii="Cambria" w:hAnsi="Cambria"/>
          <w:color w:val="000000"/>
        </w:rPr>
        <w:t>The above findings and discussion</w:t>
      </w:r>
      <w:r>
        <w:rPr>
          <w:rFonts w:ascii="Cambria" w:hAnsi="Cambria"/>
          <w:color w:val="000000"/>
        </w:rPr>
        <w:t>s</w:t>
      </w:r>
      <w:r w:rsidRPr="00354CA1">
        <w:rPr>
          <w:rFonts w:ascii="Cambria" w:hAnsi="Cambria"/>
          <w:color w:val="000000"/>
        </w:rPr>
        <w:t xml:space="preserve"> </w:t>
      </w:r>
      <w:r>
        <w:rPr>
          <w:rFonts w:ascii="Cambria" w:hAnsi="Cambria"/>
          <w:color w:val="000000"/>
        </w:rPr>
        <w:t>have implications for policy on transfer students in at least 2 areas, and also have key i</w:t>
      </w:r>
      <w:r w:rsidR="00C66C10" w:rsidRPr="00354CA1">
        <w:rPr>
          <w:rFonts w:ascii="Cambria" w:hAnsi="Cambria"/>
          <w:color w:val="000000"/>
        </w:rPr>
        <w:t>mplications</w:t>
      </w:r>
      <w:r>
        <w:rPr>
          <w:rFonts w:ascii="Cambria" w:hAnsi="Cambria"/>
          <w:color w:val="000000"/>
        </w:rPr>
        <w:t xml:space="preserve"> for future research on those students. </w:t>
      </w:r>
    </w:p>
    <w:p w14:paraId="2E1063B7" w14:textId="77777777" w:rsidR="00354CA1" w:rsidRDefault="00354CA1" w:rsidP="00C66C10">
      <w:pPr>
        <w:spacing w:after="0"/>
        <w:ind w:left="120"/>
        <w:rPr>
          <w:rFonts w:ascii="Cambria" w:hAnsi="Cambria"/>
          <w:color w:val="000000"/>
        </w:rPr>
      </w:pPr>
    </w:p>
    <w:p w14:paraId="4A076091" w14:textId="0CF4ED2D" w:rsidR="00C66C10" w:rsidRDefault="00354CA1" w:rsidP="00C66C10">
      <w:pPr>
        <w:spacing w:after="0"/>
        <w:ind w:left="120"/>
        <w:rPr>
          <w:rFonts w:ascii="Cambria" w:hAnsi="Cambria"/>
          <w:color w:val="000000"/>
        </w:rPr>
      </w:pPr>
      <w:r>
        <w:rPr>
          <w:rFonts w:ascii="Cambria" w:hAnsi="Cambria"/>
          <w:color w:val="000000"/>
        </w:rPr>
        <w:tab/>
        <w:t>A first policy implication involves awarding credits. S</w:t>
      </w:r>
      <w:r w:rsidR="00C66C10">
        <w:rPr>
          <w:rFonts w:ascii="Cambria" w:hAnsi="Cambria"/>
          <w:color w:val="000000"/>
        </w:rPr>
        <w:t xml:space="preserve">ince awarding transfer credits is associated with better outcomes among all categories of transfer students, universities should </w:t>
      </w:r>
      <w:r>
        <w:rPr>
          <w:rFonts w:ascii="Cambria" w:hAnsi="Cambria"/>
          <w:color w:val="000000"/>
        </w:rPr>
        <w:t xml:space="preserve">strive to develop mechanisms that might </w:t>
      </w:r>
      <w:r w:rsidR="00C66C10">
        <w:rPr>
          <w:rFonts w:ascii="Cambria" w:hAnsi="Cambria"/>
          <w:color w:val="000000"/>
        </w:rPr>
        <w:t>award more</w:t>
      </w:r>
      <w:r>
        <w:rPr>
          <w:rFonts w:ascii="Cambria" w:hAnsi="Cambria"/>
          <w:color w:val="000000"/>
        </w:rPr>
        <w:t xml:space="preserve"> such credits while retaining their academic integrity. Currently, each institution has its own credit-awarding procedures, but more could be done to systematize their efforts in ways that might grant more credits to deserving students.  A second implication speaks to academic supports for transfer students. S</w:t>
      </w:r>
      <w:r w:rsidR="00C66C10">
        <w:rPr>
          <w:rFonts w:ascii="Cambria" w:hAnsi="Cambria"/>
          <w:color w:val="000000"/>
        </w:rPr>
        <w:t xml:space="preserve">ince high school track </w:t>
      </w:r>
      <w:r w:rsidR="00C66C10">
        <w:rPr>
          <w:rFonts w:ascii="Cambria" w:hAnsi="Cambria"/>
          <w:color w:val="000000"/>
        </w:rPr>
        <w:lastRenderedPageBreak/>
        <w:t>records are important predictors of university outcomes, and since transfer students tend to have worse track records on average than direct entry students, universities may wish to also provide transfer students (and other students too) with extra academic supports, such as remedial programs, mentoring, etc.</w:t>
      </w:r>
    </w:p>
    <w:p w14:paraId="73228894" w14:textId="77777777" w:rsidR="004F0297" w:rsidRDefault="004F0297" w:rsidP="00385E6B">
      <w:pPr>
        <w:spacing w:after="0"/>
        <w:ind w:left="120"/>
        <w:rPr>
          <w:rFonts w:ascii="Cambria" w:hAnsi="Cambria"/>
          <w:color w:val="000000"/>
        </w:rPr>
      </w:pPr>
    </w:p>
    <w:p w14:paraId="5F4BC1C1" w14:textId="4CD06E41" w:rsidR="00514A9A" w:rsidRDefault="00DF6EC4" w:rsidP="00385E6B">
      <w:pPr>
        <w:spacing w:after="0"/>
        <w:ind w:left="120"/>
        <w:rPr>
          <w:rFonts w:ascii="Cambria" w:hAnsi="Cambria"/>
          <w:color w:val="000000"/>
        </w:rPr>
      </w:pPr>
      <w:r>
        <w:rPr>
          <w:rFonts w:ascii="Cambria" w:hAnsi="Cambria"/>
          <w:color w:val="000000"/>
        </w:rPr>
        <w:tab/>
      </w:r>
      <w:r w:rsidR="00354CA1">
        <w:rPr>
          <w:rFonts w:ascii="Cambria" w:hAnsi="Cambria"/>
          <w:color w:val="000000"/>
        </w:rPr>
        <w:t xml:space="preserve">In terms of implications for future research, this study </w:t>
      </w:r>
      <w:r w:rsidR="00890737">
        <w:rPr>
          <w:rFonts w:ascii="Cambria" w:hAnsi="Cambria"/>
          <w:color w:val="000000"/>
        </w:rPr>
        <w:t xml:space="preserve">further highlights the need for multi-institution data sharing agreements. </w:t>
      </w:r>
      <w:r w:rsidR="00B404C2">
        <w:rPr>
          <w:rFonts w:ascii="Cambria" w:hAnsi="Cambria"/>
          <w:color w:val="000000"/>
        </w:rPr>
        <w:t>T</w:t>
      </w:r>
      <w:r w:rsidR="00884C72">
        <w:rPr>
          <w:rFonts w:ascii="Cambria" w:hAnsi="Cambria"/>
          <w:color w:val="000000"/>
        </w:rPr>
        <w:t>h</w:t>
      </w:r>
      <w:r w:rsidR="00890737">
        <w:rPr>
          <w:rFonts w:ascii="Cambria" w:hAnsi="Cambria"/>
          <w:color w:val="000000"/>
        </w:rPr>
        <w:t>e TDSB-</w:t>
      </w:r>
      <w:r w:rsidR="00884C72">
        <w:rPr>
          <w:rFonts w:ascii="Cambria" w:hAnsi="Cambria"/>
          <w:color w:val="000000"/>
        </w:rPr>
        <w:t xml:space="preserve">UofT </w:t>
      </w:r>
      <w:r w:rsidR="00890737">
        <w:rPr>
          <w:rFonts w:ascii="Cambria" w:hAnsi="Cambria"/>
          <w:color w:val="000000"/>
        </w:rPr>
        <w:t xml:space="preserve">cohorts can </w:t>
      </w:r>
      <w:r w:rsidR="00884C72">
        <w:rPr>
          <w:rFonts w:ascii="Cambria" w:hAnsi="Cambria"/>
          <w:color w:val="000000"/>
        </w:rPr>
        <w:t xml:space="preserve">track </w:t>
      </w:r>
      <w:r w:rsidR="00890737">
        <w:rPr>
          <w:rFonts w:ascii="Cambria" w:hAnsi="Cambria"/>
          <w:color w:val="000000"/>
        </w:rPr>
        <w:t xml:space="preserve">only </w:t>
      </w:r>
      <w:r w:rsidR="00884C72">
        <w:rPr>
          <w:rFonts w:ascii="Cambria" w:hAnsi="Cambria"/>
          <w:color w:val="000000"/>
        </w:rPr>
        <w:t>transfer</w:t>
      </w:r>
      <w:r w:rsidR="00DF660C">
        <w:rPr>
          <w:rFonts w:ascii="Cambria" w:hAnsi="Cambria"/>
          <w:color w:val="000000"/>
        </w:rPr>
        <w:t>s</w:t>
      </w:r>
      <w:r w:rsidR="00890737">
        <w:rPr>
          <w:rFonts w:ascii="Cambria" w:hAnsi="Cambria"/>
          <w:color w:val="000000"/>
        </w:rPr>
        <w:t xml:space="preserve"> into UofT</w:t>
      </w:r>
      <w:r w:rsidR="00B404C2">
        <w:rPr>
          <w:rFonts w:ascii="Cambria" w:hAnsi="Cambria"/>
          <w:color w:val="000000"/>
        </w:rPr>
        <w:t xml:space="preserve">. </w:t>
      </w:r>
      <w:r w:rsidR="00DF660C">
        <w:rPr>
          <w:rFonts w:ascii="Cambria" w:hAnsi="Cambria"/>
          <w:color w:val="000000"/>
        </w:rPr>
        <w:t xml:space="preserve">However, </w:t>
      </w:r>
      <w:r w:rsidR="00890737">
        <w:rPr>
          <w:rFonts w:ascii="Cambria" w:hAnsi="Cambria"/>
          <w:color w:val="000000"/>
        </w:rPr>
        <w:t xml:space="preserve">two-way flows </w:t>
      </w:r>
      <w:r w:rsidR="003154D0">
        <w:rPr>
          <w:rFonts w:ascii="Cambria" w:hAnsi="Cambria"/>
          <w:color w:val="000000"/>
        </w:rPr>
        <w:t xml:space="preserve">of transfers </w:t>
      </w:r>
      <w:r w:rsidR="00DF660C">
        <w:rPr>
          <w:rFonts w:ascii="Cambria" w:hAnsi="Cambria"/>
          <w:color w:val="000000"/>
        </w:rPr>
        <w:t xml:space="preserve">could be </w:t>
      </w:r>
      <w:r w:rsidR="003154D0">
        <w:rPr>
          <w:rFonts w:ascii="Cambria" w:hAnsi="Cambria"/>
          <w:color w:val="000000"/>
        </w:rPr>
        <w:t xml:space="preserve">potentially </w:t>
      </w:r>
      <w:r w:rsidR="00DF660C">
        <w:rPr>
          <w:rFonts w:ascii="Cambria" w:hAnsi="Cambria"/>
          <w:color w:val="000000"/>
        </w:rPr>
        <w:t xml:space="preserve">tracked in </w:t>
      </w:r>
      <w:r w:rsidR="007A3B64">
        <w:rPr>
          <w:rFonts w:ascii="Cambria" w:hAnsi="Cambria"/>
          <w:color w:val="000000"/>
        </w:rPr>
        <w:t xml:space="preserve">future </w:t>
      </w:r>
      <w:r w:rsidR="009238FB">
        <w:rPr>
          <w:rFonts w:ascii="Cambria" w:hAnsi="Cambria"/>
          <w:color w:val="000000"/>
        </w:rPr>
        <w:t>data-sharing project</w:t>
      </w:r>
      <w:r w:rsidR="00B404C2">
        <w:rPr>
          <w:rFonts w:ascii="Cambria" w:hAnsi="Cambria"/>
          <w:color w:val="000000"/>
        </w:rPr>
        <w:t xml:space="preserve">s </w:t>
      </w:r>
      <w:r w:rsidR="00884C72">
        <w:rPr>
          <w:rFonts w:ascii="Cambria" w:hAnsi="Cambria"/>
          <w:color w:val="000000"/>
        </w:rPr>
        <w:t>involv</w:t>
      </w:r>
      <w:r w:rsidR="007A3B64">
        <w:rPr>
          <w:rFonts w:ascii="Cambria" w:hAnsi="Cambria"/>
          <w:color w:val="000000"/>
        </w:rPr>
        <w:t>ing</w:t>
      </w:r>
      <w:r w:rsidR="00884C72">
        <w:rPr>
          <w:rFonts w:ascii="Cambria" w:hAnsi="Cambria"/>
          <w:color w:val="000000"/>
        </w:rPr>
        <w:t xml:space="preserve"> multiple institutions</w:t>
      </w:r>
      <w:r w:rsidR="009238FB">
        <w:rPr>
          <w:rFonts w:ascii="Cambria" w:hAnsi="Cambria"/>
          <w:color w:val="000000"/>
        </w:rPr>
        <w:t>.</w:t>
      </w:r>
      <w:r w:rsidR="00F650F9">
        <w:rPr>
          <w:rFonts w:ascii="Cambria" w:hAnsi="Cambria"/>
          <w:color w:val="000000"/>
        </w:rPr>
        <w:t xml:space="preserve"> Currently most institutional data </w:t>
      </w:r>
      <w:r w:rsidR="003154D0">
        <w:rPr>
          <w:rFonts w:ascii="Cambria" w:hAnsi="Cambria"/>
          <w:color w:val="000000"/>
        </w:rPr>
        <w:t>remain unlinked and</w:t>
      </w:r>
      <w:r w:rsidR="00B404C2">
        <w:rPr>
          <w:rFonts w:ascii="Cambria" w:hAnsi="Cambria"/>
          <w:color w:val="000000"/>
        </w:rPr>
        <w:t xml:space="preserve"> </w:t>
      </w:r>
      <w:r w:rsidR="007A3B64">
        <w:rPr>
          <w:rFonts w:ascii="Cambria" w:hAnsi="Cambria"/>
          <w:color w:val="000000"/>
        </w:rPr>
        <w:t>siloed</w:t>
      </w:r>
      <w:r w:rsidR="003154D0">
        <w:rPr>
          <w:rFonts w:ascii="Cambria" w:hAnsi="Cambria"/>
          <w:color w:val="000000"/>
        </w:rPr>
        <w:t xml:space="preserve"> between institutions</w:t>
      </w:r>
      <w:r w:rsidR="00F650F9">
        <w:rPr>
          <w:rFonts w:ascii="Cambria" w:hAnsi="Cambria"/>
          <w:color w:val="000000"/>
        </w:rPr>
        <w:t>.</w:t>
      </w:r>
      <w:r w:rsidR="009238FB">
        <w:rPr>
          <w:rFonts w:ascii="Cambria" w:hAnsi="Cambria"/>
          <w:color w:val="000000"/>
        </w:rPr>
        <w:t xml:space="preserve"> </w:t>
      </w:r>
      <w:r w:rsidR="00F650F9">
        <w:rPr>
          <w:rFonts w:ascii="Cambria" w:hAnsi="Cambria"/>
          <w:color w:val="000000"/>
        </w:rPr>
        <w:t xml:space="preserve">But </w:t>
      </w:r>
      <w:r w:rsidR="003154D0">
        <w:rPr>
          <w:rFonts w:ascii="Cambria" w:hAnsi="Cambria"/>
          <w:color w:val="000000"/>
        </w:rPr>
        <w:t xml:space="preserve">as the capacity </w:t>
      </w:r>
      <w:r w:rsidR="00884C72">
        <w:rPr>
          <w:rFonts w:ascii="Cambria" w:hAnsi="Cambria"/>
          <w:color w:val="000000"/>
        </w:rPr>
        <w:t xml:space="preserve">to </w:t>
      </w:r>
      <w:r w:rsidR="00B404C2">
        <w:rPr>
          <w:rFonts w:ascii="Cambria" w:hAnsi="Cambria"/>
          <w:color w:val="000000"/>
        </w:rPr>
        <w:t xml:space="preserve">link </w:t>
      </w:r>
      <w:r w:rsidR="003154D0">
        <w:rPr>
          <w:rFonts w:ascii="Cambria" w:hAnsi="Cambria"/>
          <w:color w:val="000000"/>
        </w:rPr>
        <w:t xml:space="preserve">administrative </w:t>
      </w:r>
      <w:r w:rsidR="00884C72">
        <w:rPr>
          <w:rFonts w:ascii="Cambria" w:hAnsi="Cambria"/>
          <w:color w:val="000000"/>
        </w:rPr>
        <w:t>data</w:t>
      </w:r>
      <w:r w:rsidR="007A3B64">
        <w:rPr>
          <w:rFonts w:ascii="Cambria" w:hAnsi="Cambria"/>
          <w:color w:val="000000"/>
        </w:rPr>
        <w:t xml:space="preserve"> </w:t>
      </w:r>
      <w:r w:rsidR="003154D0">
        <w:rPr>
          <w:rFonts w:ascii="Cambria" w:hAnsi="Cambria"/>
          <w:color w:val="000000"/>
        </w:rPr>
        <w:t xml:space="preserve">grows, and as new studies illustrate the benefits of linked data, </w:t>
      </w:r>
      <w:r w:rsidR="00DF660C">
        <w:rPr>
          <w:rFonts w:ascii="Cambria" w:hAnsi="Cambria"/>
          <w:color w:val="000000"/>
        </w:rPr>
        <w:t xml:space="preserve">a new phase of research could </w:t>
      </w:r>
      <w:r w:rsidR="00B404C2">
        <w:rPr>
          <w:rFonts w:ascii="Cambria" w:hAnsi="Cambria"/>
          <w:color w:val="000000"/>
        </w:rPr>
        <w:t xml:space="preserve">track </w:t>
      </w:r>
      <w:r w:rsidR="007A3B64">
        <w:rPr>
          <w:rFonts w:ascii="Cambria" w:hAnsi="Cambria"/>
          <w:color w:val="000000"/>
        </w:rPr>
        <w:t>two-way flows of transfers</w:t>
      </w:r>
      <w:r w:rsidR="003154D0">
        <w:rPr>
          <w:rFonts w:ascii="Cambria" w:hAnsi="Cambria"/>
          <w:color w:val="000000"/>
        </w:rPr>
        <w:t xml:space="preserve"> if multiple institutions share their data with one another.</w:t>
      </w:r>
      <w:r w:rsidR="00DD2B36">
        <w:rPr>
          <w:rFonts w:ascii="Cambria" w:hAnsi="Cambria"/>
          <w:color w:val="000000"/>
        </w:rPr>
        <w:t> </w:t>
      </w:r>
      <w:r w:rsidR="003154D0">
        <w:rPr>
          <w:rFonts w:ascii="Cambria" w:hAnsi="Cambria"/>
          <w:color w:val="000000"/>
        </w:rPr>
        <w:t xml:space="preserve">The </w:t>
      </w:r>
      <w:r w:rsidR="00B404C2">
        <w:rPr>
          <w:rFonts w:ascii="Cambria" w:hAnsi="Cambria"/>
          <w:color w:val="000000"/>
        </w:rPr>
        <w:t xml:space="preserve">agreements and approvals </w:t>
      </w:r>
      <w:r w:rsidR="003154D0">
        <w:rPr>
          <w:rFonts w:ascii="Cambria" w:hAnsi="Cambria"/>
          <w:color w:val="000000"/>
        </w:rPr>
        <w:t xml:space="preserve">by legal teams and Ethics Review Boards at TDSB, UofT and Ontario’s Privacy Commission </w:t>
      </w:r>
      <w:r w:rsidR="007A3B64">
        <w:rPr>
          <w:rFonts w:ascii="Cambria" w:hAnsi="Cambria"/>
          <w:color w:val="000000"/>
        </w:rPr>
        <w:t xml:space="preserve">developed </w:t>
      </w:r>
      <w:r w:rsidR="003154D0">
        <w:rPr>
          <w:rFonts w:ascii="Cambria" w:hAnsi="Cambria"/>
          <w:color w:val="000000"/>
        </w:rPr>
        <w:t>by</w:t>
      </w:r>
      <w:r w:rsidR="00B404C2">
        <w:rPr>
          <w:rFonts w:ascii="Cambria" w:hAnsi="Cambria"/>
          <w:color w:val="000000"/>
        </w:rPr>
        <w:t xml:space="preserve"> this project</w:t>
      </w:r>
      <w:r w:rsidR="007A3B64">
        <w:rPr>
          <w:rFonts w:ascii="Cambria" w:hAnsi="Cambria"/>
          <w:color w:val="000000"/>
        </w:rPr>
        <w:t xml:space="preserve"> </w:t>
      </w:r>
      <w:r w:rsidR="003154D0">
        <w:rPr>
          <w:rFonts w:ascii="Cambria" w:hAnsi="Cambria"/>
          <w:color w:val="000000"/>
        </w:rPr>
        <w:t xml:space="preserve">could serve </w:t>
      </w:r>
      <w:r w:rsidR="00F650F9">
        <w:rPr>
          <w:rFonts w:ascii="Cambria" w:hAnsi="Cambria"/>
          <w:color w:val="000000"/>
        </w:rPr>
        <w:t>as template</w:t>
      </w:r>
      <w:r w:rsidR="007A3B64">
        <w:rPr>
          <w:rFonts w:ascii="Cambria" w:hAnsi="Cambria"/>
          <w:color w:val="000000"/>
        </w:rPr>
        <w:t>s</w:t>
      </w:r>
      <w:r w:rsidR="003154D0">
        <w:rPr>
          <w:rFonts w:ascii="Cambria" w:hAnsi="Cambria"/>
          <w:color w:val="000000"/>
        </w:rPr>
        <w:t xml:space="preserve"> for future partnerships</w:t>
      </w:r>
      <w:r w:rsidR="007436E3">
        <w:rPr>
          <w:rFonts w:ascii="Cambria" w:hAnsi="Cambria"/>
          <w:color w:val="000000"/>
        </w:rPr>
        <w:t xml:space="preserve">. </w:t>
      </w:r>
      <w:r w:rsidR="00F650F9">
        <w:rPr>
          <w:rFonts w:ascii="Cambria" w:hAnsi="Cambria"/>
          <w:color w:val="000000"/>
        </w:rPr>
        <w:t xml:space="preserve">In lieu of </w:t>
      </w:r>
      <w:r w:rsidR="007A3B64">
        <w:rPr>
          <w:rFonts w:ascii="Cambria" w:hAnsi="Cambria"/>
          <w:color w:val="000000"/>
        </w:rPr>
        <w:t xml:space="preserve">a </w:t>
      </w:r>
      <w:r w:rsidR="00F650F9">
        <w:rPr>
          <w:rFonts w:ascii="Cambria" w:hAnsi="Cambria"/>
          <w:color w:val="000000"/>
        </w:rPr>
        <w:t xml:space="preserve">centralized </w:t>
      </w:r>
      <w:r w:rsidR="007A3B64">
        <w:rPr>
          <w:rFonts w:ascii="Cambria" w:hAnsi="Cambria"/>
          <w:color w:val="000000"/>
        </w:rPr>
        <w:t xml:space="preserve">provincial </w:t>
      </w:r>
      <w:r w:rsidR="00F650F9">
        <w:rPr>
          <w:rFonts w:ascii="Cambria" w:hAnsi="Cambria"/>
          <w:color w:val="000000"/>
        </w:rPr>
        <w:t>data base</w:t>
      </w:r>
      <w:r w:rsidR="007A3B64">
        <w:rPr>
          <w:rFonts w:ascii="Cambria" w:hAnsi="Cambria"/>
          <w:color w:val="000000"/>
        </w:rPr>
        <w:t>,</w:t>
      </w:r>
      <w:r w:rsidR="00F650F9">
        <w:rPr>
          <w:rFonts w:ascii="Cambria" w:hAnsi="Cambria"/>
          <w:color w:val="000000"/>
        </w:rPr>
        <w:t xml:space="preserve"> a multi-institution cooperative project </w:t>
      </w:r>
      <w:r w:rsidR="003154D0">
        <w:rPr>
          <w:rFonts w:ascii="Cambria" w:hAnsi="Cambria"/>
          <w:color w:val="000000"/>
        </w:rPr>
        <w:t>is likely the</w:t>
      </w:r>
      <w:r w:rsidR="007A3B64">
        <w:rPr>
          <w:rFonts w:ascii="Cambria" w:hAnsi="Cambria"/>
          <w:color w:val="000000"/>
        </w:rPr>
        <w:t xml:space="preserve"> </w:t>
      </w:r>
      <w:r w:rsidR="00F650F9">
        <w:rPr>
          <w:rFonts w:ascii="Cambria" w:hAnsi="Cambria"/>
          <w:color w:val="000000"/>
        </w:rPr>
        <w:t xml:space="preserve">best bet for </w:t>
      </w:r>
      <w:r w:rsidR="007A3B64">
        <w:rPr>
          <w:rFonts w:ascii="Cambria" w:hAnsi="Cambria"/>
          <w:color w:val="000000"/>
        </w:rPr>
        <w:t>advancing research on student transfer in Ontario.</w:t>
      </w:r>
    </w:p>
    <w:p w14:paraId="6CCCCE37" w14:textId="77777777" w:rsidR="00514A9A" w:rsidRDefault="00514A9A">
      <w:pPr>
        <w:rPr>
          <w:rFonts w:ascii="Cambria" w:hAnsi="Cambria"/>
          <w:color w:val="000000"/>
        </w:rPr>
      </w:pPr>
      <w:r>
        <w:rPr>
          <w:rFonts w:ascii="Cambria" w:hAnsi="Cambria"/>
          <w:color w:val="000000"/>
        </w:rPr>
        <w:br w:type="page"/>
      </w:r>
    </w:p>
    <w:p w14:paraId="2568F189" w14:textId="7854EB1E" w:rsidR="005F3888" w:rsidRPr="0026178A" w:rsidRDefault="00F650F9" w:rsidP="00385E6B">
      <w:pPr>
        <w:spacing w:after="0"/>
        <w:ind w:left="120"/>
      </w:pPr>
      <w:r>
        <w:rPr>
          <w:rFonts w:ascii="Cambria" w:hAnsi="Cambria"/>
          <w:color w:val="000000"/>
        </w:rPr>
        <w:lastRenderedPageBreak/>
        <w:t xml:space="preserve"> </w:t>
      </w:r>
    </w:p>
    <w:p w14:paraId="64B3FA10" w14:textId="2C512E6A" w:rsidR="00F14699" w:rsidRDefault="009238FB" w:rsidP="00067AC3">
      <w:pPr>
        <w:spacing w:after="0"/>
        <w:ind w:left="120"/>
        <w:jc w:val="center"/>
      </w:pPr>
      <w:r>
        <w:rPr>
          <w:rFonts w:ascii="Cambria" w:hAnsi="Cambria"/>
          <w:b/>
          <w:color w:val="000000"/>
        </w:rPr>
        <w:t xml:space="preserve">Table 1: Categories of Transfer Students </w:t>
      </w:r>
      <w:r w:rsidR="00297727">
        <w:rPr>
          <w:rFonts w:ascii="Cambria" w:hAnsi="Cambria"/>
          <w:b/>
          <w:color w:val="000000"/>
        </w:rPr>
        <w:t xml:space="preserve">and Credits Awarded </w:t>
      </w:r>
      <w:r>
        <w:rPr>
          <w:rFonts w:ascii="Cambria" w:hAnsi="Cambria"/>
          <w:b/>
          <w:color w:val="000000"/>
        </w:rPr>
        <w:t>(valid n=</w:t>
      </w:r>
      <w:r w:rsidR="00617B85">
        <w:rPr>
          <w:rFonts w:ascii="Cambria" w:hAnsi="Cambria"/>
          <w:b/>
          <w:color w:val="000000"/>
        </w:rPr>
        <w:t>17</w:t>
      </w:r>
      <w:r>
        <w:rPr>
          <w:rFonts w:ascii="Cambria" w:hAnsi="Cambria"/>
          <w:b/>
          <w:color w:val="000000"/>
        </w:rPr>
        <w:t>,</w:t>
      </w:r>
      <w:r w:rsidR="00617B85">
        <w:rPr>
          <w:rFonts w:ascii="Cambria" w:hAnsi="Cambria"/>
          <w:b/>
          <w:color w:val="000000"/>
        </w:rPr>
        <w:t>838</w:t>
      </w:r>
      <w:r>
        <w:rPr>
          <w:rFonts w:ascii="Cambria" w:hAnsi="Cambria"/>
          <w:b/>
          <w:color w:val="000000"/>
        </w:rPr>
        <w:t>)</w:t>
      </w: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2150"/>
        <w:gridCol w:w="998"/>
        <w:gridCol w:w="1697"/>
        <w:gridCol w:w="1633"/>
        <w:gridCol w:w="1393"/>
        <w:gridCol w:w="1354"/>
      </w:tblGrid>
      <w:tr w:rsidR="00950D6A" w14:paraId="2DC1F324" w14:textId="4264DA4A" w:rsidTr="00950D6A">
        <w:trPr>
          <w:trHeight w:val="450"/>
          <w:tblCellSpacing w:w="0" w:type="dxa"/>
        </w:trPr>
        <w:tc>
          <w:tcPr>
            <w:tcW w:w="2271" w:type="dxa"/>
            <w:tcMar>
              <w:top w:w="75" w:type="dxa"/>
              <w:left w:w="120" w:type="dxa"/>
              <w:bottom w:w="75" w:type="dxa"/>
              <w:right w:w="120" w:type="dxa"/>
            </w:tcMar>
          </w:tcPr>
          <w:p w14:paraId="678D3491" w14:textId="77777777" w:rsidR="00950D6A" w:rsidRDefault="00950D6A">
            <w:pPr>
              <w:spacing w:after="0"/>
              <w:ind w:left="240"/>
            </w:pPr>
            <w:r>
              <w:rPr>
                <w:rFonts w:ascii="Cambria" w:hAnsi="Cambria"/>
                <w:color w:val="000000"/>
              </w:rPr>
              <w:t>From…</w:t>
            </w:r>
          </w:p>
        </w:tc>
        <w:tc>
          <w:tcPr>
            <w:tcW w:w="1023" w:type="dxa"/>
            <w:tcBorders>
              <w:left w:val="single" w:sz="8" w:space="0" w:color="C1C7CD"/>
            </w:tcBorders>
            <w:tcMar>
              <w:top w:w="75" w:type="dxa"/>
              <w:left w:w="120" w:type="dxa"/>
              <w:bottom w:w="75" w:type="dxa"/>
              <w:right w:w="120" w:type="dxa"/>
            </w:tcMar>
          </w:tcPr>
          <w:p w14:paraId="2F268913" w14:textId="77777777" w:rsidR="00950D6A" w:rsidRDefault="00950D6A">
            <w:pPr>
              <w:spacing w:after="0"/>
              <w:ind w:left="240"/>
            </w:pPr>
            <w:r>
              <w:rPr>
                <w:rFonts w:ascii="Cambria" w:hAnsi="Cambria"/>
                <w:color w:val="000000"/>
              </w:rPr>
              <w:t>N</w:t>
            </w:r>
          </w:p>
        </w:tc>
        <w:tc>
          <w:tcPr>
            <w:tcW w:w="1824" w:type="dxa"/>
            <w:tcBorders>
              <w:left w:val="single" w:sz="8" w:space="0" w:color="C1C7CD"/>
            </w:tcBorders>
            <w:tcMar>
              <w:top w:w="75" w:type="dxa"/>
              <w:left w:w="120" w:type="dxa"/>
              <w:bottom w:w="75" w:type="dxa"/>
              <w:right w:w="120" w:type="dxa"/>
            </w:tcMar>
          </w:tcPr>
          <w:p w14:paraId="7465750B" w14:textId="77777777" w:rsidR="00950D6A" w:rsidRDefault="00950D6A">
            <w:pPr>
              <w:spacing w:after="0"/>
              <w:ind w:left="240"/>
            </w:pPr>
            <w:r>
              <w:rPr>
                <w:rFonts w:ascii="Cambria" w:hAnsi="Cambria"/>
                <w:color w:val="000000"/>
              </w:rPr>
              <w:t>Valid % of Analytic Sample</w:t>
            </w:r>
          </w:p>
        </w:tc>
        <w:tc>
          <w:tcPr>
            <w:tcW w:w="1701" w:type="dxa"/>
            <w:tcBorders>
              <w:left w:val="single" w:sz="8" w:space="0" w:color="C1C7CD"/>
            </w:tcBorders>
            <w:tcMar>
              <w:top w:w="75" w:type="dxa"/>
              <w:left w:w="120" w:type="dxa"/>
              <w:bottom w:w="75" w:type="dxa"/>
              <w:right w:w="120" w:type="dxa"/>
            </w:tcMar>
          </w:tcPr>
          <w:p w14:paraId="73480A59" w14:textId="15E91D5A" w:rsidR="00950D6A" w:rsidRDefault="00950D6A">
            <w:pPr>
              <w:spacing w:after="0"/>
              <w:ind w:left="240"/>
            </w:pPr>
            <w:r>
              <w:rPr>
                <w:rFonts w:ascii="Cambria" w:hAnsi="Cambria"/>
                <w:color w:val="000000"/>
              </w:rPr>
              <w:t>% of All PSE Transfers</w:t>
            </w:r>
          </w:p>
        </w:tc>
        <w:tc>
          <w:tcPr>
            <w:tcW w:w="1411" w:type="dxa"/>
            <w:tcBorders>
              <w:left w:val="single" w:sz="8" w:space="0" w:color="C1C7CD"/>
            </w:tcBorders>
          </w:tcPr>
          <w:p w14:paraId="0EEF7EA6" w14:textId="2B934D08" w:rsidR="00950D6A" w:rsidRDefault="00950D6A">
            <w:pPr>
              <w:spacing w:after="0"/>
              <w:ind w:left="240"/>
              <w:rPr>
                <w:rFonts w:ascii="Cambria" w:hAnsi="Cambria"/>
                <w:color w:val="000000"/>
              </w:rPr>
            </w:pPr>
            <w:r>
              <w:rPr>
                <w:rFonts w:ascii="Cambria" w:hAnsi="Cambria"/>
                <w:color w:val="000000"/>
              </w:rPr>
              <w:t>% Awarded Transfer Credits</w:t>
            </w:r>
          </w:p>
        </w:tc>
        <w:tc>
          <w:tcPr>
            <w:tcW w:w="995" w:type="dxa"/>
            <w:tcBorders>
              <w:left w:val="single" w:sz="8" w:space="0" w:color="C1C7CD"/>
            </w:tcBorders>
          </w:tcPr>
          <w:p w14:paraId="32173275" w14:textId="5C8A5C07" w:rsidR="00950D6A" w:rsidRDefault="00950D6A">
            <w:pPr>
              <w:spacing w:after="0"/>
              <w:ind w:left="240"/>
              <w:rPr>
                <w:rFonts w:ascii="Cambria" w:hAnsi="Cambria"/>
                <w:color w:val="000000"/>
              </w:rPr>
            </w:pPr>
            <w:r>
              <w:rPr>
                <w:rFonts w:ascii="Cambria" w:hAnsi="Cambria"/>
                <w:color w:val="000000"/>
              </w:rPr>
              <w:t>Mean Credits Awarded</w:t>
            </w:r>
          </w:p>
        </w:tc>
      </w:tr>
      <w:tr w:rsidR="00950D6A" w14:paraId="2DC1F95C" w14:textId="5B201241" w:rsidTr="00950D6A">
        <w:trPr>
          <w:trHeight w:val="465"/>
          <w:tblCellSpacing w:w="0" w:type="dxa"/>
        </w:trPr>
        <w:tc>
          <w:tcPr>
            <w:tcW w:w="2271" w:type="dxa"/>
            <w:tcBorders>
              <w:top w:val="single" w:sz="8" w:space="0" w:color="C1C7CD"/>
            </w:tcBorders>
            <w:tcMar>
              <w:top w:w="75" w:type="dxa"/>
              <w:left w:w="120" w:type="dxa"/>
              <w:bottom w:w="75" w:type="dxa"/>
              <w:right w:w="120" w:type="dxa"/>
            </w:tcMar>
          </w:tcPr>
          <w:p w14:paraId="5091D450" w14:textId="77777777" w:rsidR="00950D6A" w:rsidRDefault="00950D6A">
            <w:pPr>
              <w:spacing w:after="0"/>
              <w:ind w:left="240"/>
            </w:pPr>
            <w:r>
              <w:rPr>
                <w:rFonts w:ascii="Cambria" w:hAnsi="Cambria"/>
                <w:color w:val="000000"/>
              </w:rPr>
              <w:t>Ontario Universities</w:t>
            </w:r>
          </w:p>
        </w:tc>
        <w:tc>
          <w:tcPr>
            <w:tcW w:w="1023" w:type="dxa"/>
            <w:tcBorders>
              <w:top w:val="single" w:sz="8" w:space="0" w:color="C1C7CD"/>
              <w:left w:val="single" w:sz="8" w:space="0" w:color="C1C7CD"/>
            </w:tcBorders>
            <w:tcMar>
              <w:top w:w="75" w:type="dxa"/>
              <w:left w:w="120" w:type="dxa"/>
              <w:bottom w:w="75" w:type="dxa"/>
              <w:right w:w="120" w:type="dxa"/>
            </w:tcMar>
          </w:tcPr>
          <w:p w14:paraId="058AEC5D" w14:textId="31516C17" w:rsidR="00950D6A" w:rsidRDefault="00950D6A">
            <w:pPr>
              <w:spacing w:after="0"/>
              <w:ind w:left="240"/>
            </w:pPr>
            <w:r>
              <w:rPr>
                <w:rFonts w:ascii="Cambria" w:hAnsi="Cambria"/>
                <w:color w:val="000000"/>
              </w:rPr>
              <w:t> 122</w:t>
            </w:r>
          </w:p>
        </w:tc>
        <w:tc>
          <w:tcPr>
            <w:tcW w:w="1824" w:type="dxa"/>
            <w:tcBorders>
              <w:top w:val="single" w:sz="8" w:space="0" w:color="C1C7CD"/>
              <w:left w:val="single" w:sz="8" w:space="0" w:color="C1C7CD"/>
            </w:tcBorders>
            <w:tcMar>
              <w:top w:w="75" w:type="dxa"/>
              <w:left w:w="120" w:type="dxa"/>
              <w:bottom w:w="75" w:type="dxa"/>
              <w:right w:w="120" w:type="dxa"/>
            </w:tcMar>
          </w:tcPr>
          <w:p w14:paraId="3D9A6375" w14:textId="236A6902" w:rsidR="00950D6A" w:rsidRDefault="00950D6A">
            <w:pPr>
              <w:spacing w:after="0"/>
              <w:ind w:left="240"/>
            </w:pPr>
            <w:r>
              <w:t>0.68</w:t>
            </w:r>
          </w:p>
        </w:tc>
        <w:tc>
          <w:tcPr>
            <w:tcW w:w="1701" w:type="dxa"/>
            <w:tcBorders>
              <w:top w:val="single" w:sz="8" w:space="0" w:color="C1C7CD"/>
              <w:left w:val="single" w:sz="8" w:space="0" w:color="C1C7CD"/>
            </w:tcBorders>
            <w:tcMar>
              <w:top w:w="75" w:type="dxa"/>
              <w:left w:w="120" w:type="dxa"/>
              <w:bottom w:w="75" w:type="dxa"/>
              <w:right w:w="120" w:type="dxa"/>
            </w:tcMar>
          </w:tcPr>
          <w:p w14:paraId="66E657C4" w14:textId="54927B1C" w:rsidR="00950D6A" w:rsidRDefault="00950D6A">
            <w:pPr>
              <w:spacing w:after="0"/>
              <w:ind w:left="240"/>
            </w:pPr>
            <w:r>
              <w:t>43.73</w:t>
            </w:r>
          </w:p>
        </w:tc>
        <w:tc>
          <w:tcPr>
            <w:tcW w:w="1411" w:type="dxa"/>
            <w:tcBorders>
              <w:top w:val="single" w:sz="8" w:space="0" w:color="C1C7CD"/>
              <w:left w:val="single" w:sz="8" w:space="0" w:color="C1C7CD"/>
            </w:tcBorders>
          </w:tcPr>
          <w:p w14:paraId="6A4776E7" w14:textId="5C6647FC" w:rsidR="00950D6A" w:rsidRDefault="00297727">
            <w:pPr>
              <w:spacing w:after="0"/>
              <w:ind w:left="240"/>
            </w:pPr>
            <w:r>
              <w:t>91.8</w:t>
            </w:r>
          </w:p>
        </w:tc>
        <w:tc>
          <w:tcPr>
            <w:tcW w:w="995" w:type="dxa"/>
            <w:tcBorders>
              <w:top w:val="single" w:sz="8" w:space="0" w:color="C1C7CD"/>
              <w:left w:val="single" w:sz="8" w:space="0" w:color="C1C7CD"/>
            </w:tcBorders>
          </w:tcPr>
          <w:p w14:paraId="786926EB" w14:textId="1D411BD9" w:rsidR="00950D6A" w:rsidRDefault="00297727">
            <w:pPr>
              <w:spacing w:after="0"/>
              <w:ind w:left="240"/>
            </w:pPr>
            <w:r>
              <w:t>4.68</w:t>
            </w:r>
          </w:p>
        </w:tc>
      </w:tr>
      <w:tr w:rsidR="00950D6A" w14:paraId="52ED7E98" w14:textId="45BF419D" w:rsidTr="00950D6A">
        <w:trPr>
          <w:trHeight w:val="465"/>
          <w:tblCellSpacing w:w="0" w:type="dxa"/>
        </w:trPr>
        <w:tc>
          <w:tcPr>
            <w:tcW w:w="2271" w:type="dxa"/>
            <w:tcBorders>
              <w:top w:val="single" w:sz="8" w:space="0" w:color="C1C7CD"/>
            </w:tcBorders>
            <w:tcMar>
              <w:top w:w="75" w:type="dxa"/>
              <w:left w:w="120" w:type="dxa"/>
              <w:bottom w:w="75" w:type="dxa"/>
              <w:right w:w="120" w:type="dxa"/>
            </w:tcMar>
          </w:tcPr>
          <w:p w14:paraId="0587FB44" w14:textId="77777777" w:rsidR="00950D6A" w:rsidRDefault="00950D6A">
            <w:pPr>
              <w:spacing w:after="0"/>
              <w:ind w:left="240"/>
            </w:pPr>
            <w:r>
              <w:rPr>
                <w:rFonts w:ascii="Cambria" w:hAnsi="Cambria"/>
                <w:color w:val="000000"/>
              </w:rPr>
              <w:t>Other Canadian Universities</w:t>
            </w:r>
          </w:p>
        </w:tc>
        <w:tc>
          <w:tcPr>
            <w:tcW w:w="1023" w:type="dxa"/>
            <w:tcBorders>
              <w:top w:val="single" w:sz="8" w:space="0" w:color="C1C7CD"/>
              <w:left w:val="single" w:sz="8" w:space="0" w:color="C1C7CD"/>
            </w:tcBorders>
            <w:tcMar>
              <w:top w:w="75" w:type="dxa"/>
              <w:left w:w="120" w:type="dxa"/>
              <w:bottom w:w="75" w:type="dxa"/>
              <w:right w:w="120" w:type="dxa"/>
            </w:tcMar>
          </w:tcPr>
          <w:p w14:paraId="4CBF260F" w14:textId="4BA4FE7D" w:rsidR="00950D6A" w:rsidRDefault="00950D6A">
            <w:pPr>
              <w:spacing w:after="0"/>
              <w:ind w:left="240"/>
            </w:pPr>
            <w:r>
              <w:rPr>
                <w:rFonts w:ascii="Cambria" w:hAnsi="Cambria"/>
                <w:color w:val="000000"/>
              </w:rPr>
              <w:t>  44</w:t>
            </w:r>
          </w:p>
        </w:tc>
        <w:tc>
          <w:tcPr>
            <w:tcW w:w="1824" w:type="dxa"/>
            <w:tcBorders>
              <w:top w:val="single" w:sz="8" w:space="0" w:color="C1C7CD"/>
              <w:left w:val="single" w:sz="8" w:space="0" w:color="C1C7CD"/>
            </w:tcBorders>
            <w:tcMar>
              <w:top w:w="75" w:type="dxa"/>
              <w:left w:w="120" w:type="dxa"/>
              <w:bottom w:w="75" w:type="dxa"/>
              <w:right w:w="120" w:type="dxa"/>
            </w:tcMar>
          </w:tcPr>
          <w:p w14:paraId="5C23FCCB" w14:textId="76B90A2B" w:rsidR="00950D6A" w:rsidRDefault="00950D6A">
            <w:pPr>
              <w:spacing w:after="0"/>
              <w:ind w:left="240"/>
            </w:pPr>
            <w:r>
              <w:t>0.25</w:t>
            </w:r>
          </w:p>
        </w:tc>
        <w:tc>
          <w:tcPr>
            <w:tcW w:w="1701" w:type="dxa"/>
            <w:tcBorders>
              <w:top w:val="single" w:sz="8" w:space="0" w:color="C1C7CD"/>
              <w:left w:val="single" w:sz="8" w:space="0" w:color="C1C7CD"/>
            </w:tcBorders>
            <w:tcMar>
              <w:top w:w="75" w:type="dxa"/>
              <w:left w:w="120" w:type="dxa"/>
              <w:bottom w:w="75" w:type="dxa"/>
              <w:right w:w="120" w:type="dxa"/>
            </w:tcMar>
          </w:tcPr>
          <w:p w14:paraId="6BA5CE70" w14:textId="01AD1397" w:rsidR="00950D6A" w:rsidRDefault="00950D6A">
            <w:pPr>
              <w:spacing w:after="0"/>
              <w:ind w:left="240"/>
            </w:pPr>
            <w:r>
              <w:t>15.77</w:t>
            </w:r>
          </w:p>
        </w:tc>
        <w:tc>
          <w:tcPr>
            <w:tcW w:w="1411" w:type="dxa"/>
            <w:tcBorders>
              <w:top w:val="single" w:sz="8" w:space="0" w:color="C1C7CD"/>
              <w:left w:val="single" w:sz="8" w:space="0" w:color="C1C7CD"/>
            </w:tcBorders>
          </w:tcPr>
          <w:p w14:paraId="4F30CCAA" w14:textId="74521429" w:rsidR="00950D6A" w:rsidRDefault="00297727">
            <w:pPr>
              <w:spacing w:after="0"/>
              <w:ind w:left="240"/>
            </w:pPr>
            <w:r>
              <w:t>95.5</w:t>
            </w:r>
          </w:p>
        </w:tc>
        <w:tc>
          <w:tcPr>
            <w:tcW w:w="995" w:type="dxa"/>
            <w:tcBorders>
              <w:top w:val="single" w:sz="8" w:space="0" w:color="C1C7CD"/>
              <w:left w:val="single" w:sz="8" w:space="0" w:color="C1C7CD"/>
            </w:tcBorders>
          </w:tcPr>
          <w:p w14:paraId="5544FE19" w14:textId="008DF746" w:rsidR="00950D6A" w:rsidRDefault="00297727">
            <w:pPr>
              <w:spacing w:after="0"/>
              <w:ind w:left="240"/>
            </w:pPr>
            <w:r>
              <w:t>5.84</w:t>
            </w:r>
          </w:p>
        </w:tc>
      </w:tr>
      <w:tr w:rsidR="00950D6A" w14:paraId="7F61AD2F" w14:textId="30622196" w:rsidTr="00950D6A">
        <w:trPr>
          <w:trHeight w:val="465"/>
          <w:tblCellSpacing w:w="0" w:type="dxa"/>
        </w:trPr>
        <w:tc>
          <w:tcPr>
            <w:tcW w:w="2271" w:type="dxa"/>
            <w:tcBorders>
              <w:top w:val="single" w:sz="8" w:space="0" w:color="C1C7CD"/>
            </w:tcBorders>
            <w:tcMar>
              <w:top w:w="75" w:type="dxa"/>
              <w:left w:w="120" w:type="dxa"/>
              <w:bottom w:w="75" w:type="dxa"/>
              <w:right w:w="120" w:type="dxa"/>
            </w:tcMar>
          </w:tcPr>
          <w:p w14:paraId="7C1E7A3C" w14:textId="77777777" w:rsidR="00950D6A" w:rsidRDefault="00950D6A">
            <w:pPr>
              <w:spacing w:after="0"/>
              <w:ind w:left="240"/>
            </w:pPr>
            <w:r>
              <w:rPr>
                <w:rFonts w:ascii="Cambria" w:hAnsi="Cambria"/>
                <w:color w:val="000000"/>
              </w:rPr>
              <w:t>International Universities</w:t>
            </w:r>
          </w:p>
        </w:tc>
        <w:tc>
          <w:tcPr>
            <w:tcW w:w="1023" w:type="dxa"/>
            <w:tcBorders>
              <w:top w:val="single" w:sz="8" w:space="0" w:color="C1C7CD"/>
              <w:left w:val="single" w:sz="8" w:space="0" w:color="C1C7CD"/>
            </w:tcBorders>
            <w:tcMar>
              <w:top w:w="75" w:type="dxa"/>
              <w:left w:w="120" w:type="dxa"/>
              <w:bottom w:w="75" w:type="dxa"/>
              <w:right w:w="120" w:type="dxa"/>
            </w:tcMar>
          </w:tcPr>
          <w:p w14:paraId="38445B04" w14:textId="6EC2E7F5" w:rsidR="00950D6A" w:rsidRDefault="00950D6A">
            <w:pPr>
              <w:spacing w:after="0"/>
              <w:ind w:left="240"/>
            </w:pPr>
            <w:r>
              <w:rPr>
                <w:rFonts w:ascii="Cambria" w:hAnsi="Cambria"/>
                <w:color w:val="000000"/>
              </w:rPr>
              <w:t>  27</w:t>
            </w:r>
          </w:p>
        </w:tc>
        <w:tc>
          <w:tcPr>
            <w:tcW w:w="1824" w:type="dxa"/>
            <w:tcBorders>
              <w:top w:val="single" w:sz="8" w:space="0" w:color="C1C7CD"/>
              <w:left w:val="single" w:sz="8" w:space="0" w:color="C1C7CD"/>
            </w:tcBorders>
            <w:tcMar>
              <w:top w:w="75" w:type="dxa"/>
              <w:left w:w="120" w:type="dxa"/>
              <w:bottom w:w="75" w:type="dxa"/>
              <w:right w:w="120" w:type="dxa"/>
            </w:tcMar>
          </w:tcPr>
          <w:p w14:paraId="31646ED0" w14:textId="154F05D0" w:rsidR="00950D6A" w:rsidRDefault="00950D6A">
            <w:pPr>
              <w:spacing w:after="0"/>
              <w:ind w:left="240"/>
            </w:pPr>
            <w:r>
              <w:t>0.15</w:t>
            </w:r>
          </w:p>
        </w:tc>
        <w:tc>
          <w:tcPr>
            <w:tcW w:w="1701" w:type="dxa"/>
            <w:tcBorders>
              <w:top w:val="single" w:sz="8" w:space="0" w:color="C1C7CD"/>
              <w:left w:val="single" w:sz="8" w:space="0" w:color="C1C7CD"/>
            </w:tcBorders>
            <w:tcMar>
              <w:top w:w="75" w:type="dxa"/>
              <w:left w:w="120" w:type="dxa"/>
              <w:bottom w:w="75" w:type="dxa"/>
              <w:right w:w="120" w:type="dxa"/>
            </w:tcMar>
          </w:tcPr>
          <w:p w14:paraId="74FBEA8A" w14:textId="2E7204C2" w:rsidR="00950D6A" w:rsidRDefault="00950D6A">
            <w:pPr>
              <w:spacing w:after="0"/>
              <w:ind w:left="240"/>
            </w:pPr>
            <w:r>
              <w:rPr>
                <w:rFonts w:ascii="Cambria" w:hAnsi="Cambria"/>
                <w:color w:val="000000"/>
              </w:rPr>
              <w:t>   9.68</w:t>
            </w:r>
          </w:p>
        </w:tc>
        <w:tc>
          <w:tcPr>
            <w:tcW w:w="1411" w:type="dxa"/>
            <w:tcBorders>
              <w:top w:val="single" w:sz="8" w:space="0" w:color="C1C7CD"/>
              <w:left w:val="single" w:sz="8" w:space="0" w:color="C1C7CD"/>
            </w:tcBorders>
          </w:tcPr>
          <w:p w14:paraId="286AA0A2" w14:textId="69D9926C" w:rsidR="00950D6A" w:rsidRDefault="00297727">
            <w:pPr>
              <w:spacing w:after="0"/>
              <w:ind w:left="240"/>
              <w:rPr>
                <w:rFonts w:ascii="Cambria" w:hAnsi="Cambria"/>
                <w:color w:val="000000"/>
              </w:rPr>
            </w:pPr>
            <w:r>
              <w:rPr>
                <w:rFonts w:ascii="Cambria" w:hAnsi="Cambria"/>
                <w:color w:val="000000"/>
              </w:rPr>
              <w:t>77.8</w:t>
            </w:r>
          </w:p>
        </w:tc>
        <w:tc>
          <w:tcPr>
            <w:tcW w:w="995" w:type="dxa"/>
            <w:tcBorders>
              <w:top w:val="single" w:sz="8" w:space="0" w:color="C1C7CD"/>
              <w:left w:val="single" w:sz="8" w:space="0" w:color="C1C7CD"/>
            </w:tcBorders>
          </w:tcPr>
          <w:p w14:paraId="3FAF38AE" w14:textId="2D7F93F9" w:rsidR="00950D6A" w:rsidRDefault="00297727">
            <w:pPr>
              <w:spacing w:after="0"/>
              <w:ind w:left="240"/>
              <w:rPr>
                <w:rFonts w:ascii="Cambria" w:hAnsi="Cambria"/>
                <w:color w:val="000000"/>
              </w:rPr>
            </w:pPr>
            <w:r>
              <w:rPr>
                <w:rFonts w:ascii="Cambria" w:hAnsi="Cambria"/>
                <w:color w:val="000000"/>
              </w:rPr>
              <w:t>3.93</w:t>
            </w:r>
          </w:p>
        </w:tc>
      </w:tr>
      <w:tr w:rsidR="00950D6A" w14:paraId="50F25846" w14:textId="5420278D" w:rsidTr="00950D6A">
        <w:trPr>
          <w:trHeight w:val="465"/>
          <w:tblCellSpacing w:w="0" w:type="dxa"/>
        </w:trPr>
        <w:tc>
          <w:tcPr>
            <w:tcW w:w="2271" w:type="dxa"/>
            <w:tcBorders>
              <w:top w:val="single" w:sz="8" w:space="0" w:color="C1C7CD"/>
            </w:tcBorders>
            <w:tcMar>
              <w:top w:w="75" w:type="dxa"/>
              <w:left w:w="120" w:type="dxa"/>
              <w:bottom w:w="75" w:type="dxa"/>
              <w:right w:w="120" w:type="dxa"/>
            </w:tcMar>
          </w:tcPr>
          <w:p w14:paraId="3DF0B46F" w14:textId="77777777" w:rsidR="00950D6A" w:rsidRDefault="00950D6A">
            <w:pPr>
              <w:spacing w:after="0"/>
              <w:ind w:left="240"/>
            </w:pPr>
            <w:r>
              <w:rPr>
                <w:rFonts w:ascii="Cambria" w:hAnsi="Cambria"/>
                <w:color w:val="000000"/>
              </w:rPr>
              <w:t>Ontario Community Colleges</w:t>
            </w:r>
          </w:p>
        </w:tc>
        <w:tc>
          <w:tcPr>
            <w:tcW w:w="1023" w:type="dxa"/>
            <w:tcBorders>
              <w:top w:val="single" w:sz="8" w:space="0" w:color="C1C7CD"/>
              <w:left w:val="single" w:sz="8" w:space="0" w:color="C1C7CD"/>
            </w:tcBorders>
            <w:tcMar>
              <w:top w:w="75" w:type="dxa"/>
              <w:left w:w="120" w:type="dxa"/>
              <w:bottom w:w="75" w:type="dxa"/>
              <w:right w:w="120" w:type="dxa"/>
            </w:tcMar>
          </w:tcPr>
          <w:p w14:paraId="5646D2C0" w14:textId="46498CB4" w:rsidR="00950D6A" w:rsidRDefault="00950D6A">
            <w:pPr>
              <w:spacing w:after="0"/>
              <w:ind w:left="240"/>
            </w:pPr>
            <w:r>
              <w:rPr>
                <w:rFonts w:ascii="Cambria" w:hAnsi="Cambria"/>
                <w:color w:val="000000"/>
              </w:rPr>
              <w:t>  78</w:t>
            </w:r>
          </w:p>
        </w:tc>
        <w:tc>
          <w:tcPr>
            <w:tcW w:w="1824" w:type="dxa"/>
            <w:tcBorders>
              <w:top w:val="single" w:sz="8" w:space="0" w:color="C1C7CD"/>
              <w:left w:val="single" w:sz="8" w:space="0" w:color="C1C7CD"/>
            </w:tcBorders>
            <w:tcMar>
              <w:top w:w="75" w:type="dxa"/>
              <w:left w:w="120" w:type="dxa"/>
              <w:bottom w:w="75" w:type="dxa"/>
              <w:right w:w="120" w:type="dxa"/>
            </w:tcMar>
          </w:tcPr>
          <w:p w14:paraId="760FF413" w14:textId="7F1B9892" w:rsidR="00950D6A" w:rsidRDefault="00950D6A">
            <w:pPr>
              <w:spacing w:after="0"/>
              <w:ind w:left="240"/>
            </w:pPr>
            <w:r>
              <w:t>0.44</w:t>
            </w:r>
          </w:p>
        </w:tc>
        <w:tc>
          <w:tcPr>
            <w:tcW w:w="1701" w:type="dxa"/>
            <w:tcBorders>
              <w:top w:val="single" w:sz="8" w:space="0" w:color="C1C7CD"/>
              <w:left w:val="single" w:sz="8" w:space="0" w:color="C1C7CD"/>
            </w:tcBorders>
            <w:tcMar>
              <w:top w:w="75" w:type="dxa"/>
              <w:left w:w="120" w:type="dxa"/>
              <w:bottom w:w="75" w:type="dxa"/>
              <w:right w:w="120" w:type="dxa"/>
            </w:tcMar>
          </w:tcPr>
          <w:p w14:paraId="5D13856C" w14:textId="7D3B226C" w:rsidR="00950D6A" w:rsidRDefault="00950D6A">
            <w:pPr>
              <w:spacing w:after="0"/>
              <w:ind w:left="240"/>
            </w:pPr>
            <w:r>
              <w:rPr>
                <w:rFonts w:ascii="Cambria" w:hAnsi="Cambria"/>
                <w:color w:val="000000"/>
              </w:rPr>
              <w:t> 27.96</w:t>
            </w:r>
          </w:p>
        </w:tc>
        <w:tc>
          <w:tcPr>
            <w:tcW w:w="1411" w:type="dxa"/>
            <w:tcBorders>
              <w:top w:val="single" w:sz="8" w:space="0" w:color="C1C7CD"/>
              <w:left w:val="single" w:sz="8" w:space="0" w:color="C1C7CD"/>
            </w:tcBorders>
          </w:tcPr>
          <w:p w14:paraId="2166421E" w14:textId="0040C13A" w:rsidR="00950D6A" w:rsidRDefault="00297727">
            <w:pPr>
              <w:spacing w:after="0"/>
              <w:ind w:left="240"/>
              <w:rPr>
                <w:rFonts w:ascii="Cambria" w:hAnsi="Cambria"/>
                <w:color w:val="000000"/>
              </w:rPr>
            </w:pPr>
            <w:r>
              <w:rPr>
                <w:rFonts w:ascii="Cambria" w:hAnsi="Cambria"/>
                <w:color w:val="000000"/>
              </w:rPr>
              <w:t>75.6</w:t>
            </w:r>
          </w:p>
        </w:tc>
        <w:tc>
          <w:tcPr>
            <w:tcW w:w="995" w:type="dxa"/>
            <w:tcBorders>
              <w:top w:val="single" w:sz="8" w:space="0" w:color="C1C7CD"/>
              <w:left w:val="single" w:sz="8" w:space="0" w:color="C1C7CD"/>
            </w:tcBorders>
          </w:tcPr>
          <w:p w14:paraId="709A1FB1" w14:textId="27C27FD2" w:rsidR="00950D6A" w:rsidRDefault="00297727">
            <w:pPr>
              <w:spacing w:after="0"/>
              <w:ind w:left="240"/>
              <w:rPr>
                <w:rFonts w:ascii="Cambria" w:hAnsi="Cambria"/>
                <w:color w:val="000000"/>
              </w:rPr>
            </w:pPr>
            <w:r>
              <w:rPr>
                <w:rFonts w:ascii="Cambria" w:hAnsi="Cambria"/>
                <w:color w:val="000000"/>
              </w:rPr>
              <w:t>2.57</w:t>
            </w:r>
          </w:p>
        </w:tc>
      </w:tr>
      <w:tr w:rsidR="00950D6A" w14:paraId="787970BA" w14:textId="7DC8B88B" w:rsidTr="00950D6A">
        <w:trPr>
          <w:trHeight w:val="465"/>
          <w:tblCellSpacing w:w="0" w:type="dxa"/>
        </w:trPr>
        <w:tc>
          <w:tcPr>
            <w:tcW w:w="2271" w:type="dxa"/>
            <w:tcBorders>
              <w:top w:val="single" w:sz="8" w:space="0" w:color="C1C7CD"/>
            </w:tcBorders>
            <w:tcMar>
              <w:top w:w="75" w:type="dxa"/>
              <w:left w:w="120" w:type="dxa"/>
              <w:bottom w:w="75" w:type="dxa"/>
              <w:right w:w="120" w:type="dxa"/>
            </w:tcMar>
          </w:tcPr>
          <w:p w14:paraId="7C315FAD" w14:textId="4971792D" w:rsidR="00950D6A" w:rsidRDefault="00950D6A" w:rsidP="0069595C">
            <w:pPr>
              <w:spacing w:after="0"/>
              <w:ind w:left="240"/>
            </w:pPr>
            <w:r>
              <w:rPr>
                <w:rFonts w:ascii="Cambria" w:hAnsi="Cambria"/>
                <w:color w:val="000000"/>
              </w:rPr>
              <w:t>Private Career Colleges</w:t>
            </w:r>
          </w:p>
        </w:tc>
        <w:tc>
          <w:tcPr>
            <w:tcW w:w="1023" w:type="dxa"/>
            <w:tcBorders>
              <w:top w:val="single" w:sz="8" w:space="0" w:color="C1C7CD"/>
              <w:left w:val="single" w:sz="8" w:space="0" w:color="C1C7CD"/>
            </w:tcBorders>
            <w:tcMar>
              <w:top w:w="75" w:type="dxa"/>
              <w:left w:w="120" w:type="dxa"/>
              <w:bottom w:w="75" w:type="dxa"/>
              <w:right w:w="120" w:type="dxa"/>
            </w:tcMar>
          </w:tcPr>
          <w:p w14:paraId="0D305F6B" w14:textId="21427E0E" w:rsidR="00950D6A" w:rsidRDefault="00950D6A" w:rsidP="0069595C">
            <w:pPr>
              <w:spacing w:after="0"/>
              <w:ind w:left="240"/>
            </w:pPr>
            <w:r>
              <w:rPr>
                <w:rFonts w:ascii="Cambria" w:hAnsi="Cambria"/>
                <w:color w:val="000000"/>
              </w:rPr>
              <w:t>   8</w:t>
            </w:r>
          </w:p>
        </w:tc>
        <w:tc>
          <w:tcPr>
            <w:tcW w:w="1824" w:type="dxa"/>
            <w:tcBorders>
              <w:top w:val="single" w:sz="8" w:space="0" w:color="C1C7CD"/>
              <w:left w:val="single" w:sz="8" w:space="0" w:color="C1C7CD"/>
            </w:tcBorders>
            <w:tcMar>
              <w:top w:w="75" w:type="dxa"/>
              <w:left w:w="120" w:type="dxa"/>
              <w:bottom w:w="75" w:type="dxa"/>
              <w:right w:w="120" w:type="dxa"/>
            </w:tcMar>
          </w:tcPr>
          <w:p w14:paraId="13C9512F" w14:textId="2F0372FF" w:rsidR="00950D6A" w:rsidRDefault="00950D6A" w:rsidP="0069595C">
            <w:pPr>
              <w:spacing w:after="0"/>
              <w:ind w:left="240"/>
            </w:pPr>
            <w:r>
              <w:t>0.04</w:t>
            </w:r>
          </w:p>
        </w:tc>
        <w:tc>
          <w:tcPr>
            <w:tcW w:w="1701" w:type="dxa"/>
            <w:tcBorders>
              <w:top w:val="single" w:sz="8" w:space="0" w:color="C1C7CD"/>
              <w:left w:val="single" w:sz="8" w:space="0" w:color="C1C7CD"/>
            </w:tcBorders>
            <w:tcMar>
              <w:top w:w="75" w:type="dxa"/>
              <w:left w:w="120" w:type="dxa"/>
              <w:bottom w:w="75" w:type="dxa"/>
              <w:right w:w="120" w:type="dxa"/>
            </w:tcMar>
          </w:tcPr>
          <w:p w14:paraId="2D3C2C3A" w14:textId="7678567A" w:rsidR="00950D6A" w:rsidRDefault="00950D6A" w:rsidP="0069595C">
            <w:pPr>
              <w:spacing w:after="0"/>
              <w:ind w:left="240"/>
            </w:pPr>
            <w:r>
              <w:rPr>
                <w:rFonts w:ascii="Cambria" w:hAnsi="Cambria"/>
                <w:color w:val="000000"/>
              </w:rPr>
              <w:t>    2.87</w:t>
            </w:r>
          </w:p>
        </w:tc>
        <w:tc>
          <w:tcPr>
            <w:tcW w:w="1411" w:type="dxa"/>
            <w:tcBorders>
              <w:top w:val="single" w:sz="8" w:space="0" w:color="C1C7CD"/>
              <w:left w:val="single" w:sz="8" w:space="0" w:color="C1C7CD"/>
            </w:tcBorders>
          </w:tcPr>
          <w:p w14:paraId="0BD530E4" w14:textId="5AD33983" w:rsidR="00950D6A" w:rsidRDefault="00297727" w:rsidP="0069595C">
            <w:pPr>
              <w:spacing w:after="0"/>
              <w:ind w:left="240"/>
              <w:rPr>
                <w:rFonts w:ascii="Cambria" w:hAnsi="Cambria"/>
                <w:color w:val="000000"/>
              </w:rPr>
            </w:pPr>
            <w:r>
              <w:rPr>
                <w:rFonts w:ascii="Cambria" w:hAnsi="Cambria"/>
                <w:color w:val="000000"/>
              </w:rPr>
              <w:t>0</w:t>
            </w:r>
          </w:p>
        </w:tc>
        <w:tc>
          <w:tcPr>
            <w:tcW w:w="995" w:type="dxa"/>
            <w:tcBorders>
              <w:top w:val="single" w:sz="8" w:space="0" w:color="C1C7CD"/>
              <w:left w:val="single" w:sz="8" w:space="0" w:color="C1C7CD"/>
            </w:tcBorders>
          </w:tcPr>
          <w:p w14:paraId="185CB94A" w14:textId="6BAE6B63" w:rsidR="00950D6A" w:rsidRDefault="00297727" w:rsidP="0069595C">
            <w:pPr>
              <w:spacing w:after="0"/>
              <w:ind w:left="240"/>
              <w:rPr>
                <w:rFonts w:ascii="Cambria" w:hAnsi="Cambria"/>
                <w:color w:val="000000"/>
              </w:rPr>
            </w:pPr>
            <w:r>
              <w:rPr>
                <w:rFonts w:ascii="Cambria" w:hAnsi="Cambria"/>
                <w:color w:val="000000"/>
              </w:rPr>
              <w:t>0</w:t>
            </w:r>
          </w:p>
        </w:tc>
      </w:tr>
      <w:tr w:rsidR="00950D6A" w14:paraId="50AA3AE3" w14:textId="0ACC7F0E" w:rsidTr="00950D6A">
        <w:trPr>
          <w:trHeight w:val="465"/>
          <w:tblCellSpacing w:w="0" w:type="dxa"/>
        </w:trPr>
        <w:tc>
          <w:tcPr>
            <w:tcW w:w="2271" w:type="dxa"/>
            <w:tcBorders>
              <w:top w:val="single" w:sz="8" w:space="0" w:color="C1C7CD"/>
            </w:tcBorders>
            <w:tcMar>
              <w:top w:w="75" w:type="dxa"/>
              <w:left w:w="120" w:type="dxa"/>
              <w:bottom w:w="75" w:type="dxa"/>
              <w:right w:w="120" w:type="dxa"/>
            </w:tcMar>
          </w:tcPr>
          <w:p w14:paraId="65E69098" w14:textId="4B88646E" w:rsidR="00950D6A" w:rsidRDefault="00950D6A" w:rsidP="0069595C">
            <w:pPr>
              <w:spacing w:after="0"/>
              <w:ind w:left="240"/>
            </w:pPr>
            <w:r>
              <w:rPr>
                <w:rFonts w:ascii="Cambria" w:hAnsi="Cambria"/>
                <w:color w:val="000000"/>
              </w:rPr>
              <w:t>Total PSE Institutions</w:t>
            </w:r>
          </w:p>
        </w:tc>
        <w:tc>
          <w:tcPr>
            <w:tcW w:w="1023" w:type="dxa"/>
            <w:tcBorders>
              <w:top w:val="single" w:sz="8" w:space="0" w:color="C1C7CD"/>
              <w:left w:val="single" w:sz="8" w:space="0" w:color="C1C7CD"/>
            </w:tcBorders>
            <w:tcMar>
              <w:top w:w="75" w:type="dxa"/>
              <w:left w:w="120" w:type="dxa"/>
              <w:bottom w:w="75" w:type="dxa"/>
              <w:right w:w="120" w:type="dxa"/>
            </w:tcMar>
          </w:tcPr>
          <w:p w14:paraId="59460F54" w14:textId="680A4CD6" w:rsidR="00950D6A" w:rsidRDefault="00950D6A" w:rsidP="0069595C">
            <w:pPr>
              <w:spacing w:after="0"/>
              <w:ind w:left="240"/>
            </w:pPr>
            <w:r>
              <w:t>279</w:t>
            </w:r>
          </w:p>
        </w:tc>
        <w:tc>
          <w:tcPr>
            <w:tcW w:w="1824" w:type="dxa"/>
            <w:tcBorders>
              <w:top w:val="single" w:sz="8" w:space="0" w:color="C1C7CD"/>
              <w:left w:val="single" w:sz="8" w:space="0" w:color="C1C7CD"/>
            </w:tcBorders>
            <w:tcMar>
              <w:top w:w="75" w:type="dxa"/>
              <w:left w:w="120" w:type="dxa"/>
              <w:bottom w:w="75" w:type="dxa"/>
              <w:right w:w="120" w:type="dxa"/>
            </w:tcMar>
          </w:tcPr>
          <w:p w14:paraId="6FC6E9DF" w14:textId="51CE1FD2" w:rsidR="00950D6A" w:rsidRDefault="00950D6A" w:rsidP="0069595C">
            <w:pPr>
              <w:spacing w:after="0"/>
              <w:ind w:left="240"/>
            </w:pPr>
            <w:r>
              <w:t>1.56</w:t>
            </w:r>
          </w:p>
        </w:tc>
        <w:tc>
          <w:tcPr>
            <w:tcW w:w="1701" w:type="dxa"/>
            <w:tcBorders>
              <w:top w:val="single" w:sz="8" w:space="0" w:color="C1C7CD"/>
              <w:left w:val="single" w:sz="8" w:space="0" w:color="C1C7CD"/>
            </w:tcBorders>
            <w:tcMar>
              <w:top w:w="75" w:type="dxa"/>
              <w:left w:w="120" w:type="dxa"/>
              <w:bottom w:w="75" w:type="dxa"/>
              <w:right w:w="120" w:type="dxa"/>
            </w:tcMar>
          </w:tcPr>
          <w:p w14:paraId="3D07007B" w14:textId="247F7CAF" w:rsidR="00950D6A" w:rsidRDefault="00950D6A" w:rsidP="0069595C">
            <w:pPr>
              <w:spacing w:after="0"/>
              <w:ind w:left="240"/>
            </w:pPr>
            <w:r>
              <w:rPr>
                <w:rFonts w:ascii="Cambria" w:hAnsi="Cambria"/>
                <w:color w:val="000000"/>
              </w:rPr>
              <w:t>100</w:t>
            </w:r>
          </w:p>
        </w:tc>
        <w:tc>
          <w:tcPr>
            <w:tcW w:w="1411" w:type="dxa"/>
            <w:tcBorders>
              <w:top w:val="single" w:sz="8" w:space="0" w:color="C1C7CD"/>
              <w:left w:val="single" w:sz="8" w:space="0" w:color="C1C7CD"/>
            </w:tcBorders>
          </w:tcPr>
          <w:p w14:paraId="6DC59D3E" w14:textId="6562A6B7" w:rsidR="00950D6A" w:rsidRDefault="00297727" w:rsidP="0069595C">
            <w:pPr>
              <w:spacing w:after="0"/>
              <w:ind w:left="240"/>
              <w:rPr>
                <w:rFonts w:ascii="Cambria" w:hAnsi="Cambria"/>
                <w:color w:val="000000"/>
              </w:rPr>
            </w:pPr>
            <w:r>
              <w:rPr>
                <w:rFonts w:ascii="Cambria" w:hAnsi="Cambria"/>
                <w:color w:val="000000"/>
              </w:rPr>
              <w:t>83.87</w:t>
            </w:r>
          </w:p>
        </w:tc>
        <w:tc>
          <w:tcPr>
            <w:tcW w:w="995" w:type="dxa"/>
            <w:tcBorders>
              <w:top w:val="single" w:sz="8" w:space="0" w:color="C1C7CD"/>
              <w:left w:val="single" w:sz="8" w:space="0" w:color="C1C7CD"/>
            </w:tcBorders>
          </w:tcPr>
          <w:p w14:paraId="6232F807" w14:textId="49100263" w:rsidR="00950D6A" w:rsidRDefault="00366586" w:rsidP="0069595C">
            <w:pPr>
              <w:spacing w:after="0"/>
              <w:ind w:left="240"/>
              <w:rPr>
                <w:rFonts w:ascii="Cambria" w:hAnsi="Cambria"/>
                <w:color w:val="000000"/>
              </w:rPr>
            </w:pPr>
            <w:r>
              <w:rPr>
                <w:rFonts w:ascii="Cambria" w:hAnsi="Cambria"/>
                <w:color w:val="000000"/>
              </w:rPr>
              <w:t>4.07</w:t>
            </w:r>
          </w:p>
        </w:tc>
      </w:tr>
    </w:tbl>
    <w:p w14:paraId="2DA1E5E4" w14:textId="77777777" w:rsidR="00F14699" w:rsidRDefault="00F14699">
      <w:pPr>
        <w:spacing w:after="0"/>
        <w:ind w:left="120"/>
      </w:pPr>
    </w:p>
    <w:p w14:paraId="36FD23FC" w14:textId="77777777" w:rsidR="00F14699" w:rsidRDefault="009238FB">
      <w:pPr>
        <w:spacing w:after="0"/>
        <w:ind w:left="120"/>
      </w:pPr>
      <w:r>
        <w:rPr>
          <w:rFonts w:ascii="Cambria" w:hAnsi="Cambria"/>
          <w:color w:val="000000"/>
        </w:rPr>
        <w:t> </w:t>
      </w:r>
    </w:p>
    <w:p w14:paraId="285A5151" w14:textId="77777777" w:rsidR="00067AC3" w:rsidRDefault="00067AC3">
      <w:pPr>
        <w:rPr>
          <w:rFonts w:ascii="Cambria" w:hAnsi="Cambria"/>
          <w:b/>
          <w:color w:val="000000"/>
        </w:rPr>
      </w:pPr>
      <w:r>
        <w:rPr>
          <w:rFonts w:ascii="Cambria" w:hAnsi="Cambria"/>
          <w:b/>
          <w:color w:val="000000"/>
        </w:rPr>
        <w:br w:type="page"/>
      </w:r>
    </w:p>
    <w:p w14:paraId="2BEE50F1" w14:textId="77777777" w:rsidR="00F14699" w:rsidRDefault="009238FB" w:rsidP="00067AC3">
      <w:pPr>
        <w:spacing w:after="0"/>
        <w:ind w:left="120"/>
        <w:jc w:val="center"/>
      </w:pPr>
      <w:r>
        <w:rPr>
          <w:rFonts w:ascii="Cambria" w:hAnsi="Cambria"/>
          <w:b/>
          <w:color w:val="000000"/>
        </w:rPr>
        <w:lastRenderedPageBreak/>
        <w:t>Table 2: Institutions of Postsecondary Transfers into UofT</w:t>
      </w:r>
    </w:p>
    <w:p w14:paraId="70A3F016" w14:textId="77777777" w:rsidR="00F14699" w:rsidRDefault="009238FB">
      <w:pPr>
        <w:spacing w:after="0"/>
        <w:ind w:left="120"/>
      </w:pPr>
      <w:r>
        <w:rPr>
          <w:rFonts w:ascii="Cambria" w:hAnsi="Cambria"/>
          <w:color w:val="000000"/>
        </w:rPr>
        <w:t> </w:t>
      </w: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2606"/>
        <w:gridCol w:w="1757"/>
        <w:gridCol w:w="2351"/>
        <w:gridCol w:w="2511"/>
      </w:tblGrid>
      <w:tr w:rsidR="00F424C0" w14:paraId="74985978" w14:textId="77777777" w:rsidTr="00F424C0">
        <w:trPr>
          <w:trHeight w:val="450"/>
          <w:tblCellSpacing w:w="0" w:type="dxa"/>
        </w:trPr>
        <w:tc>
          <w:tcPr>
            <w:tcW w:w="2606" w:type="dxa"/>
            <w:tcMar>
              <w:top w:w="75" w:type="dxa"/>
              <w:left w:w="120" w:type="dxa"/>
              <w:bottom w:w="75" w:type="dxa"/>
              <w:right w:w="120" w:type="dxa"/>
            </w:tcMar>
          </w:tcPr>
          <w:p w14:paraId="5C3E6138" w14:textId="77777777" w:rsidR="00F424C0" w:rsidRDefault="00F424C0" w:rsidP="00DC6CEB">
            <w:pPr>
              <w:spacing w:after="0" w:line="240" w:lineRule="auto"/>
              <w:ind w:left="240"/>
            </w:pPr>
            <w:r>
              <w:rPr>
                <w:rFonts w:ascii="Cambria" w:hAnsi="Cambria"/>
                <w:b/>
                <w:color w:val="000000"/>
              </w:rPr>
              <w:t>Institutional Category</w:t>
            </w:r>
          </w:p>
        </w:tc>
        <w:tc>
          <w:tcPr>
            <w:tcW w:w="1757" w:type="dxa"/>
            <w:tcBorders>
              <w:right w:val="single" w:sz="8" w:space="0" w:color="C1C7CD"/>
            </w:tcBorders>
          </w:tcPr>
          <w:p w14:paraId="2CDC1113" w14:textId="7253D116" w:rsidR="00F424C0" w:rsidRPr="00B438C9" w:rsidRDefault="00F424C0" w:rsidP="00DC6CEB">
            <w:pPr>
              <w:spacing w:after="0" w:line="240" w:lineRule="auto"/>
              <w:ind w:left="240"/>
              <w:rPr>
                <w:b/>
              </w:rPr>
            </w:pPr>
            <w:r w:rsidRPr="00B438C9">
              <w:rPr>
                <w:b/>
              </w:rPr>
              <w:t xml:space="preserve">% </w:t>
            </w:r>
            <w:r w:rsidR="00B438C9">
              <w:rPr>
                <w:b/>
              </w:rPr>
              <w:t>Awarded</w:t>
            </w:r>
            <w:r w:rsidRPr="00B438C9">
              <w:rPr>
                <w:b/>
              </w:rPr>
              <w:t xml:space="preserve"> Transfer Credits </w:t>
            </w:r>
          </w:p>
        </w:tc>
        <w:tc>
          <w:tcPr>
            <w:tcW w:w="2351" w:type="dxa"/>
            <w:tcBorders>
              <w:left w:val="single" w:sz="8" w:space="0" w:color="C1C7CD"/>
            </w:tcBorders>
            <w:tcMar>
              <w:top w:w="75" w:type="dxa"/>
              <w:left w:w="120" w:type="dxa"/>
              <w:bottom w:w="75" w:type="dxa"/>
              <w:right w:w="120" w:type="dxa"/>
            </w:tcMar>
          </w:tcPr>
          <w:p w14:paraId="60248A77" w14:textId="7E0A4BE5" w:rsidR="00F424C0" w:rsidRPr="00B438C9" w:rsidRDefault="00F424C0" w:rsidP="00DC6CEB">
            <w:pPr>
              <w:spacing w:after="0" w:line="240" w:lineRule="auto"/>
              <w:ind w:left="240"/>
              <w:rPr>
                <w:b/>
              </w:rPr>
            </w:pPr>
            <w:r w:rsidRPr="00B438C9">
              <w:rPr>
                <w:b/>
              </w:rPr>
              <w:t>Mean # of Transfer Credits</w:t>
            </w:r>
            <w:r w:rsidR="00B438C9" w:rsidRPr="00B438C9">
              <w:rPr>
                <w:b/>
              </w:rPr>
              <w:t xml:space="preserve"> Awarded </w:t>
            </w:r>
          </w:p>
        </w:tc>
        <w:tc>
          <w:tcPr>
            <w:tcW w:w="2511" w:type="dxa"/>
            <w:tcBorders>
              <w:left w:val="single" w:sz="8" w:space="0" w:color="C1C7CD"/>
            </w:tcBorders>
            <w:tcMar>
              <w:top w:w="75" w:type="dxa"/>
              <w:left w:w="120" w:type="dxa"/>
              <w:bottom w:w="75" w:type="dxa"/>
              <w:right w:w="120" w:type="dxa"/>
            </w:tcMar>
          </w:tcPr>
          <w:p w14:paraId="74E0F15C" w14:textId="77777777" w:rsidR="00F424C0" w:rsidRDefault="00F424C0" w:rsidP="00DC6CEB">
            <w:pPr>
              <w:spacing w:after="0" w:line="240" w:lineRule="auto"/>
              <w:ind w:left="240"/>
            </w:pPr>
            <w:r>
              <w:rPr>
                <w:rFonts w:ascii="Cambria" w:hAnsi="Cambria"/>
                <w:b/>
                <w:color w:val="000000"/>
              </w:rPr>
              <w:t>Number of Transfers into UofT</w:t>
            </w:r>
          </w:p>
        </w:tc>
      </w:tr>
      <w:tr w:rsidR="00170F6D" w14:paraId="2D001971"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13AD44F6" w14:textId="77777777" w:rsidR="00170F6D" w:rsidRDefault="00170F6D" w:rsidP="00170F6D">
            <w:pPr>
              <w:spacing w:after="0" w:line="240" w:lineRule="auto"/>
              <w:ind w:left="240"/>
            </w:pPr>
            <w:r>
              <w:rPr>
                <w:rFonts w:ascii="Cambria" w:hAnsi="Cambria"/>
                <w:b/>
                <w:color w:val="000000"/>
              </w:rPr>
              <w:t>Ontario Universities</w:t>
            </w:r>
          </w:p>
        </w:tc>
        <w:tc>
          <w:tcPr>
            <w:tcW w:w="1757" w:type="dxa"/>
            <w:tcBorders>
              <w:top w:val="single" w:sz="8" w:space="0" w:color="C1C7CD"/>
              <w:right w:val="single" w:sz="8" w:space="0" w:color="C1C7CD"/>
            </w:tcBorders>
          </w:tcPr>
          <w:p w14:paraId="5BF6B6CA" w14:textId="69E4FE12" w:rsidR="00170F6D" w:rsidRDefault="00170F6D" w:rsidP="00170F6D">
            <w:pPr>
              <w:spacing w:after="0" w:line="240" w:lineRule="auto"/>
              <w:ind w:left="240"/>
              <w:rPr>
                <w:rFonts w:ascii="Cambria" w:hAnsi="Cambria"/>
                <w:b/>
                <w:color w:val="000000"/>
              </w:rPr>
            </w:pPr>
            <w:r>
              <w:t>91.8</w:t>
            </w:r>
          </w:p>
        </w:tc>
        <w:tc>
          <w:tcPr>
            <w:tcW w:w="2351" w:type="dxa"/>
            <w:tcBorders>
              <w:top w:val="single" w:sz="8" w:space="0" w:color="C1C7CD"/>
              <w:left w:val="single" w:sz="8" w:space="0" w:color="C1C7CD"/>
            </w:tcBorders>
            <w:tcMar>
              <w:top w:w="75" w:type="dxa"/>
              <w:left w:w="120" w:type="dxa"/>
              <w:bottom w:w="75" w:type="dxa"/>
              <w:right w:w="120" w:type="dxa"/>
            </w:tcMar>
          </w:tcPr>
          <w:p w14:paraId="793B4849" w14:textId="0CEFE305" w:rsidR="00170F6D" w:rsidRDefault="00170F6D" w:rsidP="00170F6D">
            <w:pPr>
              <w:spacing w:after="0" w:line="240" w:lineRule="auto"/>
              <w:ind w:left="240"/>
            </w:pPr>
            <w:r>
              <w:t>4.68</w:t>
            </w:r>
          </w:p>
        </w:tc>
        <w:tc>
          <w:tcPr>
            <w:tcW w:w="2511" w:type="dxa"/>
            <w:tcBorders>
              <w:top w:val="single" w:sz="8" w:space="0" w:color="C1C7CD"/>
              <w:left w:val="single" w:sz="8" w:space="0" w:color="C1C7CD"/>
            </w:tcBorders>
            <w:tcMar>
              <w:top w:w="75" w:type="dxa"/>
              <w:left w:w="120" w:type="dxa"/>
              <w:bottom w:w="75" w:type="dxa"/>
              <w:right w:w="120" w:type="dxa"/>
            </w:tcMar>
          </w:tcPr>
          <w:p w14:paraId="72511E30" w14:textId="45341C98" w:rsidR="00170F6D" w:rsidRDefault="00170F6D" w:rsidP="00170F6D">
            <w:pPr>
              <w:spacing w:after="0" w:line="240" w:lineRule="auto"/>
              <w:ind w:left="240"/>
            </w:pPr>
            <w:r>
              <w:t>122</w:t>
            </w:r>
          </w:p>
        </w:tc>
      </w:tr>
      <w:tr w:rsidR="00170F6D" w14:paraId="2FD0D864"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77DCBD38" w14:textId="69E23E46" w:rsidR="00170F6D" w:rsidRDefault="00170F6D" w:rsidP="00170F6D">
            <w:pPr>
              <w:spacing w:after="0" w:line="240" w:lineRule="auto"/>
              <w:ind w:left="240"/>
            </w:pPr>
            <w:r>
              <w:rPr>
                <w:rFonts w:ascii="Cambria" w:hAnsi="Cambria"/>
                <w:color w:val="000000"/>
              </w:rPr>
              <w:t>York</w:t>
            </w:r>
          </w:p>
        </w:tc>
        <w:tc>
          <w:tcPr>
            <w:tcW w:w="1757" w:type="dxa"/>
            <w:tcBorders>
              <w:top w:val="single" w:sz="8" w:space="0" w:color="C1C7CD"/>
              <w:right w:val="single" w:sz="8" w:space="0" w:color="C1C7CD"/>
            </w:tcBorders>
          </w:tcPr>
          <w:p w14:paraId="61BD3A99" w14:textId="6A5548E2" w:rsidR="00170F6D" w:rsidRDefault="001B5D69" w:rsidP="00170F6D">
            <w:pPr>
              <w:spacing w:after="0" w:line="240" w:lineRule="auto"/>
              <w:ind w:left="240"/>
            </w:pPr>
            <w:r>
              <w:t>85.0</w:t>
            </w:r>
          </w:p>
        </w:tc>
        <w:tc>
          <w:tcPr>
            <w:tcW w:w="2351" w:type="dxa"/>
            <w:tcBorders>
              <w:top w:val="single" w:sz="8" w:space="0" w:color="C1C7CD"/>
              <w:left w:val="single" w:sz="8" w:space="0" w:color="C1C7CD"/>
            </w:tcBorders>
            <w:tcMar>
              <w:top w:w="75" w:type="dxa"/>
              <w:left w:w="120" w:type="dxa"/>
              <w:bottom w:w="75" w:type="dxa"/>
              <w:right w:w="120" w:type="dxa"/>
            </w:tcMar>
          </w:tcPr>
          <w:p w14:paraId="6A53FDE2" w14:textId="3231985A" w:rsidR="00170F6D" w:rsidRDefault="008648A9" w:rsidP="00170F6D">
            <w:pPr>
              <w:spacing w:after="0" w:line="240" w:lineRule="auto"/>
              <w:ind w:left="240"/>
            </w:pPr>
            <w:r>
              <w:t>4.8</w:t>
            </w:r>
            <w:r w:rsidR="008E5AD7">
              <w:t>0</w:t>
            </w:r>
          </w:p>
        </w:tc>
        <w:tc>
          <w:tcPr>
            <w:tcW w:w="2511" w:type="dxa"/>
            <w:tcBorders>
              <w:top w:val="single" w:sz="8" w:space="0" w:color="C1C7CD"/>
              <w:left w:val="single" w:sz="8" w:space="0" w:color="C1C7CD"/>
            </w:tcBorders>
            <w:tcMar>
              <w:top w:w="75" w:type="dxa"/>
              <w:left w:w="120" w:type="dxa"/>
              <w:bottom w:w="75" w:type="dxa"/>
              <w:right w:w="120" w:type="dxa"/>
            </w:tcMar>
          </w:tcPr>
          <w:p w14:paraId="333FC0B6" w14:textId="13A70050" w:rsidR="00170F6D" w:rsidRDefault="00170F6D" w:rsidP="00170F6D">
            <w:pPr>
              <w:spacing w:after="0" w:line="240" w:lineRule="auto"/>
              <w:ind w:left="240"/>
            </w:pPr>
            <w:r>
              <w:t>20</w:t>
            </w:r>
          </w:p>
        </w:tc>
      </w:tr>
      <w:tr w:rsidR="00170F6D" w14:paraId="07A1C087"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7A0A38BC" w14:textId="59A7666A" w:rsidR="00170F6D" w:rsidRDefault="00170F6D" w:rsidP="00170F6D">
            <w:pPr>
              <w:spacing w:after="0" w:line="240" w:lineRule="auto"/>
              <w:ind w:left="240"/>
            </w:pPr>
            <w:r>
              <w:rPr>
                <w:rFonts w:ascii="Cambria" w:hAnsi="Cambria"/>
                <w:color w:val="000000"/>
              </w:rPr>
              <w:t>Ryerson</w:t>
            </w:r>
          </w:p>
        </w:tc>
        <w:tc>
          <w:tcPr>
            <w:tcW w:w="1757" w:type="dxa"/>
            <w:tcBorders>
              <w:top w:val="single" w:sz="8" w:space="0" w:color="C1C7CD"/>
              <w:right w:val="single" w:sz="8" w:space="0" w:color="C1C7CD"/>
            </w:tcBorders>
          </w:tcPr>
          <w:p w14:paraId="19A35D2A" w14:textId="25654639" w:rsidR="00170F6D" w:rsidRDefault="001B5D69" w:rsidP="00170F6D">
            <w:pPr>
              <w:spacing w:after="0" w:line="240" w:lineRule="auto"/>
              <w:ind w:left="240"/>
            </w:pPr>
            <w:r>
              <w:t>90.0</w:t>
            </w:r>
          </w:p>
        </w:tc>
        <w:tc>
          <w:tcPr>
            <w:tcW w:w="2351" w:type="dxa"/>
            <w:tcBorders>
              <w:top w:val="single" w:sz="8" w:space="0" w:color="C1C7CD"/>
              <w:left w:val="single" w:sz="8" w:space="0" w:color="C1C7CD"/>
            </w:tcBorders>
            <w:tcMar>
              <w:top w:w="75" w:type="dxa"/>
              <w:left w:w="120" w:type="dxa"/>
              <w:bottom w:w="75" w:type="dxa"/>
              <w:right w:w="120" w:type="dxa"/>
            </w:tcMar>
          </w:tcPr>
          <w:p w14:paraId="752F7E47" w14:textId="655F1059" w:rsidR="00170F6D" w:rsidRDefault="008E5AD7" w:rsidP="00170F6D">
            <w:pPr>
              <w:spacing w:after="0" w:line="240" w:lineRule="auto"/>
              <w:ind w:left="240"/>
            </w:pPr>
            <w:r>
              <w:t>4.07</w:t>
            </w:r>
          </w:p>
        </w:tc>
        <w:tc>
          <w:tcPr>
            <w:tcW w:w="2511" w:type="dxa"/>
            <w:tcBorders>
              <w:top w:val="single" w:sz="8" w:space="0" w:color="C1C7CD"/>
              <w:left w:val="single" w:sz="8" w:space="0" w:color="C1C7CD"/>
            </w:tcBorders>
            <w:tcMar>
              <w:top w:w="75" w:type="dxa"/>
              <w:left w:w="120" w:type="dxa"/>
              <w:bottom w:w="75" w:type="dxa"/>
              <w:right w:w="120" w:type="dxa"/>
            </w:tcMar>
          </w:tcPr>
          <w:p w14:paraId="3A0C5EE8" w14:textId="0A268FAA" w:rsidR="00170F6D" w:rsidRDefault="00170F6D" w:rsidP="00170F6D">
            <w:pPr>
              <w:spacing w:after="0" w:line="240" w:lineRule="auto"/>
              <w:ind w:left="240"/>
            </w:pPr>
            <w:r>
              <w:t>20</w:t>
            </w:r>
          </w:p>
        </w:tc>
      </w:tr>
      <w:tr w:rsidR="00170F6D" w14:paraId="2E85834C"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6363B124" w14:textId="4D3269E0" w:rsidR="00170F6D" w:rsidRDefault="00170F6D" w:rsidP="00170F6D">
            <w:pPr>
              <w:spacing w:after="0" w:line="240" w:lineRule="auto"/>
              <w:ind w:left="240"/>
            </w:pPr>
            <w:r>
              <w:rPr>
                <w:rFonts w:ascii="Cambria" w:hAnsi="Cambria"/>
                <w:color w:val="000000"/>
              </w:rPr>
              <w:t>Waterloo</w:t>
            </w:r>
          </w:p>
        </w:tc>
        <w:tc>
          <w:tcPr>
            <w:tcW w:w="1757" w:type="dxa"/>
            <w:tcBorders>
              <w:top w:val="single" w:sz="8" w:space="0" w:color="C1C7CD"/>
              <w:right w:val="single" w:sz="8" w:space="0" w:color="C1C7CD"/>
            </w:tcBorders>
          </w:tcPr>
          <w:p w14:paraId="19EDCF45" w14:textId="180269C1" w:rsidR="00170F6D" w:rsidRDefault="001B5D69" w:rsidP="00170F6D">
            <w:pPr>
              <w:spacing w:after="0" w:line="240" w:lineRule="auto"/>
              <w:ind w:left="240"/>
            </w:pPr>
            <w:r>
              <w:t>100</w:t>
            </w:r>
          </w:p>
        </w:tc>
        <w:tc>
          <w:tcPr>
            <w:tcW w:w="2351" w:type="dxa"/>
            <w:tcBorders>
              <w:top w:val="single" w:sz="8" w:space="0" w:color="C1C7CD"/>
              <w:left w:val="single" w:sz="8" w:space="0" w:color="C1C7CD"/>
            </w:tcBorders>
            <w:tcMar>
              <w:top w:w="75" w:type="dxa"/>
              <w:left w:w="120" w:type="dxa"/>
              <w:bottom w:w="75" w:type="dxa"/>
              <w:right w:w="120" w:type="dxa"/>
            </w:tcMar>
          </w:tcPr>
          <w:p w14:paraId="028F9177" w14:textId="3D049B8B" w:rsidR="00170F6D" w:rsidRDefault="008E5AD7" w:rsidP="00170F6D">
            <w:pPr>
              <w:spacing w:after="0" w:line="240" w:lineRule="auto"/>
              <w:ind w:left="240"/>
            </w:pPr>
            <w:r>
              <w:t>3.25</w:t>
            </w:r>
          </w:p>
        </w:tc>
        <w:tc>
          <w:tcPr>
            <w:tcW w:w="2511" w:type="dxa"/>
            <w:tcBorders>
              <w:top w:val="single" w:sz="8" w:space="0" w:color="C1C7CD"/>
              <w:left w:val="single" w:sz="8" w:space="0" w:color="C1C7CD"/>
            </w:tcBorders>
            <w:tcMar>
              <w:top w:w="75" w:type="dxa"/>
              <w:left w:w="120" w:type="dxa"/>
              <w:bottom w:w="75" w:type="dxa"/>
              <w:right w:w="120" w:type="dxa"/>
            </w:tcMar>
          </w:tcPr>
          <w:p w14:paraId="58CC3E79" w14:textId="303E7BBD" w:rsidR="00170F6D" w:rsidRDefault="00170F6D" w:rsidP="00170F6D">
            <w:pPr>
              <w:spacing w:after="0" w:line="240" w:lineRule="auto"/>
              <w:ind w:left="240"/>
            </w:pPr>
            <w:r>
              <w:rPr>
                <w:rFonts w:ascii="Cambria" w:hAnsi="Cambria"/>
                <w:color w:val="000000"/>
              </w:rPr>
              <w:t xml:space="preserve">  4</w:t>
            </w:r>
          </w:p>
        </w:tc>
      </w:tr>
      <w:tr w:rsidR="00170F6D" w14:paraId="0B215BE1"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530AD532" w14:textId="093E078B" w:rsidR="00170F6D" w:rsidRDefault="00170F6D" w:rsidP="00170F6D">
            <w:pPr>
              <w:spacing w:after="0" w:line="240" w:lineRule="auto"/>
              <w:ind w:left="240"/>
            </w:pPr>
            <w:r>
              <w:rPr>
                <w:rFonts w:ascii="Cambria" w:hAnsi="Cambria"/>
                <w:color w:val="000000"/>
              </w:rPr>
              <w:t>Western</w:t>
            </w:r>
          </w:p>
        </w:tc>
        <w:tc>
          <w:tcPr>
            <w:tcW w:w="1757" w:type="dxa"/>
            <w:tcBorders>
              <w:top w:val="single" w:sz="8" w:space="0" w:color="C1C7CD"/>
              <w:right w:val="single" w:sz="8" w:space="0" w:color="C1C7CD"/>
            </w:tcBorders>
          </w:tcPr>
          <w:p w14:paraId="22122BD5" w14:textId="5326F3EA" w:rsidR="00170F6D" w:rsidRDefault="001B5D69" w:rsidP="00170F6D">
            <w:pPr>
              <w:spacing w:after="0" w:line="240" w:lineRule="auto"/>
              <w:ind w:left="240"/>
            </w:pPr>
            <w:r>
              <w:t>92.0</w:t>
            </w:r>
          </w:p>
        </w:tc>
        <w:tc>
          <w:tcPr>
            <w:tcW w:w="2351" w:type="dxa"/>
            <w:tcBorders>
              <w:top w:val="single" w:sz="8" w:space="0" w:color="C1C7CD"/>
              <w:left w:val="single" w:sz="8" w:space="0" w:color="C1C7CD"/>
            </w:tcBorders>
            <w:tcMar>
              <w:top w:w="75" w:type="dxa"/>
              <w:left w:w="120" w:type="dxa"/>
              <w:bottom w:w="75" w:type="dxa"/>
              <w:right w:w="120" w:type="dxa"/>
            </w:tcMar>
          </w:tcPr>
          <w:p w14:paraId="61A1D027" w14:textId="7DFB2F46" w:rsidR="00170F6D" w:rsidRDefault="008E5AD7" w:rsidP="00170F6D">
            <w:pPr>
              <w:spacing w:after="0" w:line="240" w:lineRule="auto"/>
              <w:ind w:left="240"/>
            </w:pPr>
            <w:r>
              <w:t>6.74</w:t>
            </w:r>
          </w:p>
        </w:tc>
        <w:tc>
          <w:tcPr>
            <w:tcW w:w="2511" w:type="dxa"/>
            <w:tcBorders>
              <w:top w:val="single" w:sz="8" w:space="0" w:color="C1C7CD"/>
              <w:left w:val="single" w:sz="8" w:space="0" w:color="C1C7CD"/>
            </w:tcBorders>
            <w:tcMar>
              <w:top w:w="75" w:type="dxa"/>
              <w:left w:w="120" w:type="dxa"/>
              <w:bottom w:w="75" w:type="dxa"/>
              <w:right w:w="120" w:type="dxa"/>
            </w:tcMar>
          </w:tcPr>
          <w:p w14:paraId="17BB6514" w14:textId="3BD8FF68" w:rsidR="00170F6D" w:rsidRDefault="00170F6D" w:rsidP="00170F6D">
            <w:pPr>
              <w:spacing w:after="0" w:line="240" w:lineRule="auto"/>
              <w:ind w:left="240"/>
            </w:pPr>
            <w:r>
              <w:t>12</w:t>
            </w:r>
          </w:p>
        </w:tc>
      </w:tr>
      <w:tr w:rsidR="00170F6D" w14:paraId="147FD913"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19CE6F47" w14:textId="3964E84E" w:rsidR="00170F6D" w:rsidRDefault="00170F6D" w:rsidP="00170F6D">
            <w:pPr>
              <w:spacing w:after="0" w:line="240" w:lineRule="auto"/>
              <w:ind w:left="240"/>
            </w:pPr>
            <w:r>
              <w:rPr>
                <w:rFonts w:ascii="Cambria" w:hAnsi="Cambria"/>
                <w:color w:val="000000"/>
              </w:rPr>
              <w:t>McMaster</w:t>
            </w:r>
          </w:p>
        </w:tc>
        <w:tc>
          <w:tcPr>
            <w:tcW w:w="1757" w:type="dxa"/>
            <w:tcBorders>
              <w:top w:val="single" w:sz="8" w:space="0" w:color="C1C7CD"/>
              <w:right w:val="single" w:sz="8" w:space="0" w:color="C1C7CD"/>
            </w:tcBorders>
          </w:tcPr>
          <w:p w14:paraId="14A811E5" w14:textId="2D240A81" w:rsidR="00170F6D" w:rsidRDefault="001B5D69" w:rsidP="00170F6D">
            <w:pPr>
              <w:spacing w:after="0" w:line="240" w:lineRule="auto"/>
              <w:ind w:left="240"/>
            </w:pPr>
            <w:r>
              <w:t>100</w:t>
            </w:r>
          </w:p>
        </w:tc>
        <w:tc>
          <w:tcPr>
            <w:tcW w:w="2351" w:type="dxa"/>
            <w:tcBorders>
              <w:top w:val="single" w:sz="8" w:space="0" w:color="C1C7CD"/>
              <w:left w:val="single" w:sz="8" w:space="0" w:color="C1C7CD"/>
            </w:tcBorders>
            <w:tcMar>
              <w:top w:w="75" w:type="dxa"/>
              <w:left w:w="120" w:type="dxa"/>
              <w:bottom w:w="75" w:type="dxa"/>
              <w:right w:w="120" w:type="dxa"/>
            </w:tcMar>
          </w:tcPr>
          <w:p w14:paraId="1F8FB489" w14:textId="51848D72" w:rsidR="00170F6D" w:rsidRDefault="008E5AD7" w:rsidP="00170F6D">
            <w:pPr>
              <w:spacing w:after="0" w:line="240" w:lineRule="auto"/>
              <w:ind w:left="240"/>
            </w:pPr>
            <w:r>
              <w:t>5.00</w:t>
            </w:r>
          </w:p>
        </w:tc>
        <w:tc>
          <w:tcPr>
            <w:tcW w:w="2511" w:type="dxa"/>
            <w:tcBorders>
              <w:top w:val="single" w:sz="8" w:space="0" w:color="C1C7CD"/>
              <w:left w:val="single" w:sz="8" w:space="0" w:color="C1C7CD"/>
            </w:tcBorders>
            <w:tcMar>
              <w:top w:w="75" w:type="dxa"/>
              <w:left w:w="120" w:type="dxa"/>
              <w:bottom w:w="75" w:type="dxa"/>
              <w:right w:w="120" w:type="dxa"/>
            </w:tcMar>
          </w:tcPr>
          <w:p w14:paraId="670DB905" w14:textId="3AB1C38F" w:rsidR="00170F6D" w:rsidRDefault="00170F6D" w:rsidP="00170F6D">
            <w:pPr>
              <w:spacing w:after="0" w:line="240" w:lineRule="auto"/>
              <w:ind w:left="240"/>
            </w:pPr>
            <w:r>
              <w:t xml:space="preserve">  4</w:t>
            </w:r>
          </w:p>
        </w:tc>
      </w:tr>
      <w:tr w:rsidR="00170F6D" w14:paraId="4B268E25"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07B762BB" w14:textId="4051EAA1" w:rsidR="00170F6D" w:rsidRDefault="00170F6D" w:rsidP="00170F6D">
            <w:pPr>
              <w:spacing w:after="0" w:line="240" w:lineRule="auto"/>
              <w:ind w:left="240"/>
            </w:pPr>
            <w:r>
              <w:rPr>
                <w:rFonts w:ascii="Cambria" w:hAnsi="Cambria"/>
                <w:color w:val="000000"/>
              </w:rPr>
              <w:t>Guelph</w:t>
            </w:r>
          </w:p>
        </w:tc>
        <w:tc>
          <w:tcPr>
            <w:tcW w:w="1757" w:type="dxa"/>
            <w:tcBorders>
              <w:top w:val="single" w:sz="8" w:space="0" w:color="C1C7CD"/>
              <w:right w:val="single" w:sz="8" w:space="0" w:color="C1C7CD"/>
            </w:tcBorders>
          </w:tcPr>
          <w:p w14:paraId="46B55E9D" w14:textId="433F3B56" w:rsidR="00170F6D" w:rsidRDefault="007B2590" w:rsidP="00170F6D">
            <w:pPr>
              <w:spacing w:after="0" w:line="240" w:lineRule="auto"/>
              <w:ind w:left="240"/>
            </w:pPr>
            <w:r>
              <w:t>100</w:t>
            </w:r>
          </w:p>
        </w:tc>
        <w:tc>
          <w:tcPr>
            <w:tcW w:w="2351" w:type="dxa"/>
            <w:tcBorders>
              <w:top w:val="single" w:sz="8" w:space="0" w:color="C1C7CD"/>
              <w:left w:val="single" w:sz="8" w:space="0" w:color="C1C7CD"/>
            </w:tcBorders>
            <w:tcMar>
              <w:top w:w="75" w:type="dxa"/>
              <w:left w:w="120" w:type="dxa"/>
              <w:bottom w:w="75" w:type="dxa"/>
              <w:right w:w="120" w:type="dxa"/>
            </w:tcMar>
          </w:tcPr>
          <w:p w14:paraId="21535596" w14:textId="2945F676" w:rsidR="00170F6D" w:rsidRDefault="008E5AD7" w:rsidP="00170F6D">
            <w:pPr>
              <w:spacing w:after="0" w:line="240" w:lineRule="auto"/>
              <w:ind w:left="240"/>
            </w:pPr>
            <w:r>
              <w:t>4.03</w:t>
            </w:r>
          </w:p>
        </w:tc>
        <w:tc>
          <w:tcPr>
            <w:tcW w:w="2511" w:type="dxa"/>
            <w:tcBorders>
              <w:top w:val="single" w:sz="8" w:space="0" w:color="C1C7CD"/>
              <w:left w:val="single" w:sz="8" w:space="0" w:color="C1C7CD"/>
            </w:tcBorders>
            <w:tcMar>
              <w:top w:w="75" w:type="dxa"/>
              <w:left w:w="120" w:type="dxa"/>
              <w:bottom w:w="75" w:type="dxa"/>
              <w:right w:w="120" w:type="dxa"/>
            </w:tcMar>
          </w:tcPr>
          <w:p w14:paraId="15071112" w14:textId="10DDFBAD" w:rsidR="00170F6D" w:rsidRDefault="00170F6D" w:rsidP="00170F6D">
            <w:pPr>
              <w:spacing w:after="0" w:line="240" w:lineRule="auto"/>
              <w:ind w:left="240"/>
            </w:pPr>
            <w:r>
              <w:t xml:space="preserve">15 </w:t>
            </w:r>
          </w:p>
        </w:tc>
      </w:tr>
      <w:tr w:rsidR="00170F6D" w14:paraId="13A241FB"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2127FA89" w14:textId="05E7A67C" w:rsidR="00170F6D" w:rsidRDefault="00170F6D" w:rsidP="00170F6D">
            <w:pPr>
              <w:spacing w:after="0" w:line="240" w:lineRule="auto"/>
              <w:ind w:left="240"/>
            </w:pPr>
            <w:r>
              <w:rPr>
                <w:rFonts w:ascii="Cambria" w:hAnsi="Cambria"/>
                <w:color w:val="000000"/>
              </w:rPr>
              <w:t>Queens</w:t>
            </w:r>
          </w:p>
        </w:tc>
        <w:tc>
          <w:tcPr>
            <w:tcW w:w="1757" w:type="dxa"/>
            <w:tcBorders>
              <w:top w:val="single" w:sz="8" w:space="0" w:color="C1C7CD"/>
              <w:right w:val="single" w:sz="8" w:space="0" w:color="C1C7CD"/>
            </w:tcBorders>
          </w:tcPr>
          <w:p w14:paraId="283F8749" w14:textId="25ED89F3" w:rsidR="00170F6D" w:rsidRDefault="007B2590" w:rsidP="00170F6D">
            <w:pPr>
              <w:spacing w:after="0" w:line="240" w:lineRule="auto"/>
              <w:ind w:left="240"/>
            </w:pPr>
            <w:r>
              <w:t>100</w:t>
            </w:r>
          </w:p>
        </w:tc>
        <w:tc>
          <w:tcPr>
            <w:tcW w:w="2351" w:type="dxa"/>
            <w:tcBorders>
              <w:top w:val="single" w:sz="8" w:space="0" w:color="C1C7CD"/>
              <w:left w:val="single" w:sz="8" w:space="0" w:color="C1C7CD"/>
            </w:tcBorders>
            <w:tcMar>
              <w:top w:w="75" w:type="dxa"/>
              <w:left w:w="120" w:type="dxa"/>
              <w:bottom w:w="75" w:type="dxa"/>
              <w:right w:w="120" w:type="dxa"/>
            </w:tcMar>
          </w:tcPr>
          <w:p w14:paraId="15C30C20" w14:textId="7BE8E564" w:rsidR="00170F6D" w:rsidRDefault="008E5AD7" w:rsidP="00170F6D">
            <w:pPr>
              <w:spacing w:after="0" w:line="240" w:lineRule="auto"/>
              <w:ind w:left="240"/>
            </w:pPr>
            <w:r>
              <w:t>5.35</w:t>
            </w:r>
          </w:p>
        </w:tc>
        <w:tc>
          <w:tcPr>
            <w:tcW w:w="2511" w:type="dxa"/>
            <w:tcBorders>
              <w:top w:val="single" w:sz="8" w:space="0" w:color="C1C7CD"/>
              <w:left w:val="single" w:sz="8" w:space="0" w:color="C1C7CD"/>
            </w:tcBorders>
            <w:tcMar>
              <w:top w:w="75" w:type="dxa"/>
              <w:left w:w="120" w:type="dxa"/>
              <w:bottom w:w="75" w:type="dxa"/>
              <w:right w:w="120" w:type="dxa"/>
            </w:tcMar>
          </w:tcPr>
          <w:p w14:paraId="76B4DD7F" w14:textId="6DA12E07" w:rsidR="00170F6D" w:rsidRDefault="00170F6D" w:rsidP="00170F6D">
            <w:pPr>
              <w:spacing w:after="0" w:line="240" w:lineRule="auto"/>
              <w:ind w:left="240"/>
            </w:pPr>
            <w:r>
              <w:t>10</w:t>
            </w:r>
          </w:p>
        </w:tc>
      </w:tr>
      <w:tr w:rsidR="00170F6D" w14:paraId="2CBEE17D"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52CA02F0" w14:textId="1A52FEBD" w:rsidR="00170F6D" w:rsidRDefault="00170F6D" w:rsidP="00170F6D">
            <w:pPr>
              <w:spacing w:after="0" w:line="240" w:lineRule="auto"/>
              <w:ind w:left="240"/>
            </w:pPr>
            <w:r>
              <w:rPr>
                <w:rFonts w:ascii="Cambria" w:hAnsi="Cambria"/>
                <w:color w:val="000000"/>
              </w:rPr>
              <w:t>UOIT</w:t>
            </w:r>
          </w:p>
        </w:tc>
        <w:tc>
          <w:tcPr>
            <w:tcW w:w="1757" w:type="dxa"/>
            <w:tcBorders>
              <w:top w:val="single" w:sz="8" w:space="0" w:color="C1C7CD"/>
              <w:right w:val="single" w:sz="8" w:space="0" w:color="C1C7CD"/>
            </w:tcBorders>
          </w:tcPr>
          <w:p w14:paraId="21786386" w14:textId="17DD0B37" w:rsidR="00170F6D" w:rsidRDefault="007B2590" w:rsidP="00170F6D">
            <w:pPr>
              <w:spacing w:after="0" w:line="240" w:lineRule="auto"/>
              <w:ind w:left="240"/>
            </w:pPr>
            <w:r>
              <w:t>100</w:t>
            </w:r>
          </w:p>
        </w:tc>
        <w:tc>
          <w:tcPr>
            <w:tcW w:w="2351" w:type="dxa"/>
            <w:tcBorders>
              <w:top w:val="single" w:sz="8" w:space="0" w:color="C1C7CD"/>
              <w:left w:val="single" w:sz="8" w:space="0" w:color="C1C7CD"/>
            </w:tcBorders>
            <w:tcMar>
              <w:top w:w="75" w:type="dxa"/>
              <w:left w:w="120" w:type="dxa"/>
              <w:bottom w:w="75" w:type="dxa"/>
              <w:right w:w="120" w:type="dxa"/>
            </w:tcMar>
          </w:tcPr>
          <w:p w14:paraId="2ADF9957" w14:textId="5DF78B44" w:rsidR="00170F6D" w:rsidRDefault="008E5AD7" w:rsidP="00170F6D">
            <w:pPr>
              <w:spacing w:after="0" w:line="240" w:lineRule="auto"/>
              <w:ind w:left="240"/>
            </w:pPr>
            <w:r>
              <w:t>6.0</w:t>
            </w:r>
          </w:p>
        </w:tc>
        <w:tc>
          <w:tcPr>
            <w:tcW w:w="2511" w:type="dxa"/>
            <w:tcBorders>
              <w:top w:val="single" w:sz="8" w:space="0" w:color="C1C7CD"/>
              <w:left w:val="single" w:sz="8" w:space="0" w:color="C1C7CD"/>
            </w:tcBorders>
            <w:tcMar>
              <w:top w:w="75" w:type="dxa"/>
              <w:left w:w="120" w:type="dxa"/>
              <w:bottom w:w="75" w:type="dxa"/>
              <w:right w:w="120" w:type="dxa"/>
            </w:tcMar>
          </w:tcPr>
          <w:p w14:paraId="5F0A6483" w14:textId="1504EBB2" w:rsidR="00170F6D" w:rsidRDefault="00170F6D" w:rsidP="00170F6D">
            <w:pPr>
              <w:spacing w:after="0" w:line="240" w:lineRule="auto"/>
              <w:ind w:left="240"/>
            </w:pPr>
            <w:r>
              <w:t xml:space="preserve"> 2</w:t>
            </w:r>
          </w:p>
        </w:tc>
      </w:tr>
      <w:tr w:rsidR="00170F6D" w14:paraId="1FBBA96F"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31DD4177" w14:textId="01FCF2DB" w:rsidR="00170F6D" w:rsidRDefault="00170F6D" w:rsidP="00170F6D">
            <w:pPr>
              <w:spacing w:after="0" w:line="240" w:lineRule="auto"/>
              <w:ind w:left="240"/>
            </w:pPr>
            <w:r>
              <w:rPr>
                <w:rFonts w:ascii="Cambria" w:hAnsi="Cambria"/>
                <w:color w:val="000000"/>
              </w:rPr>
              <w:t>Ottawa</w:t>
            </w:r>
          </w:p>
        </w:tc>
        <w:tc>
          <w:tcPr>
            <w:tcW w:w="1757" w:type="dxa"/>
            <w:tcBorders>
              <w:top w:val="single" w:sz="8" w:space="0" w:color="C1C7CD"/>
              <w:right w:val="single" w:sz="8" w:space="0" w:color="C1C7CD"/>
            </w:tcBorders>
          </w:tcPr>
          <w:p w14:paraId="3EA9E32E" w14:textId="00485C74" w:rsidR="00170F6D" w:rsidRDefault="007B2590" w:rsidP="00170F6D">
            <w:pPr>
              <w:spacing w:after="0" w:line="240" w:lineRule="auto"/>
              <w:ind w:left="240"/>
            </w:pPr>
            <w:r>
              <w:t>83.0</w:t>
            </w:r>
          </w:p>
        </w:tc>
        <w:tc>
          <w:tcPr>
            <w:tcW w:w="2351" w:type="dxa"/>
            <w:tcBorders>
              <w:top w:val="single" w:sz="8" w:space="0" w:color="C1C7CD"/>
              <w:left w:val="single" w:sz="8" w:space="0" w:color="C1C7CD"/>
            </w:tcBorders>
            <w:tcMar>
              <w:top w:w="75" w:type="dxa"/>
              <w:left w:w="120" w:type="dxa"/>
              <w:bottom w:w="75" w:type="dxa"/>
              <w:right w:w="120" w:type="dxa"/>
            </w:tcMar>
          </w:tcPr>
          <w:p w14:paraId="10254FE5" w14:textId="71B51D4E" w:rsidR="00170F6D" w:rsidRDefault="008E5AD7" w:rsidP="00170F6D">
            <w:pPr>
              <w:spacing w:after="0" w:line="240" w:lineRule="auto"/>
              <w:ind w:left="240"/>
            </w:pPr>
            <w:r>
              <w:t>4.42</w:t>
            </w:r>
          </w:p>
        </w:tc>
        <w:tc>
          <w:tcPr>
            <w:tcW w:w="2511" w:type="dxa"/>
            <w:tcBorders>
              <w:top w:val="single" w:sz="8" w:space="0" w:color="C1C7CD"/>
              <w:left w:val="single" w:sz="8" w:space="0" w:color="C1C7CD"/>
            </w:tcBorders>
            <w:tcMar>
              <w:top w:w="75" w:type="dxa"/>
              <w:left w:w="120" w:type="dxa"/>
              <w:bottom w:w="75" w:type="dxa"/>
              <w:right w:w="120" w:type="dxa"/>
            </w:tcMar>
          </w:tcPr>
          <w:p w14:paraId="0276B99F" w14:textId="5340BEAB" w:rsidR="00170F6D" w:rsidRDefault="00170F6D" w:rsidP="00170F6D">
            <w:pPr>
              <w:spacing w:after="0" w:line="240" w:lineRule="auto"/>
              <w:ind w:left="240"/>
            </w:pPr>
            <w:r>
              <w:t>6</w:t>
            </w:r>
          </w:p>
        </w:tc>
      </w:tr>
      <w:tr w:rsidR="00170F6D" w14:paraId="2E363A30"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7D5FC24B" w14:textId="1AAA6626" w:rsidR="00170F6D" w:rsidRDefault="00170F6D" w:rsidP="00170F6D">
            <w:pPr>
              <w:spacing w:after="0" w:line="240" w:lineRule="auto"/>
              <w:ind w:left="240"/>
            </w:pPr>
            <w:r>
              <w:rPr>
                <w:rFonts w:ascii="Cambria" w:hAnsi="Cambria"/>
                <w:color w:val="000000"/>
              </w:rPr>
              <w:t>Laurier</w:t>
            </w:r>
          </w:p>
        </w:tc>
        <w:tc>
          <w:tcPr>
            <w:tcW w:w="1757" w:type="dxa"/>
            <w:tcBorders>
              <w:top w:val="single" w:sz="8" w:space="0" w:color="C1C7CD"/>
              <w:right w:val="single" w:sz="8" w:space="0" w:color="C1C7CD"/>
            </w:tcBorders>
          </w:tcPr>
          <w:p w14:paraId="0DDD1B15" w14:textId="7E92D7CE" w:rsidR="00170F6D" w:rsidRDefault="007B2590" w:rsidP="00170F6D">
            <w:pPr>
              <w:spacing w:after="0" w:line="240" w:lineRule="auto"/>
              <w:ind w:left="240"/>
            </w:pPr>
            <w:r>
              <w:t>100</w:t>
            </w:r>
          </w:p>
        </w:tc>
        <w:tc>
          <w:tcPr>
            <w:tcW w:w="2351" w:type="dxa"/>
            <w:tcBorders>
              <w:top w:val="single" w:sz="8" w:space="0" w:color="C1C7CD"/>
              <w:left w:val="single" w:sz="8" w:space="0" w:color="C1C7CD"/>
            </w:tcBorders>
            <w:tcMar>
              <w:top w:w="75" w:type="dxa"/>
              <w:left w:w="120" w:type="dxa"/>
              <w:bottom w:w="75" w:type="dxa"/>
              <w:right w:w="120" w:type="dxa"/>
            </w:tcMar>
          </w:tcPr>
          <w:p w14:paraId="5DADA637" w14:textId="4A54F4B5" w:rsidR="00170F6D" w:rsidRDefault="008E5AD7" w:rsidP="00170F6D">
            <w:pPr>
              <w:spacing w:after="0" w:line="240" w:lineRule="auto"/>
              <w:ind w:left="240"/>
            </w:pPr>
            <w:r>
              <w:t>5.40</w:t>
            </w:r>
          </w:p>
        </w:tc>
        <w:tc>
          <w:tcPr>
            <w:tcW w:w="2511" w:type="dxa"/>
            <w:tcBorders>
              <w:top w:val="single" w:sz="8" w:space="0" w:color="C1C7CD"/>
              <w:left w:val="single" w:sz="8" w:space="0" w:color="C1C7CD"/>
            </w:tcBorders>
            <w:tcMar>
              <w:top w:w="75" w:type="dxa"/>
              <w:left w:w="120" w:type="dxa"/>
              <w:bottom w:w="75" w:type="dxa"/>
              <w:right w:w="120" w:type="dxa"/>
            </w:tcMar>
          </w:tcPr>
          <w:p w14:paraId="69CE6644" w14:textId="1229B228" w:rsidR="00170F6D" w:rsidRDefault="00170F6D" w:rsidP="00170F6D">
            <w:pPr>
              <w:spacing w:after="0" w:line="240" w:lineRule="auto"/>
              <w:ind w:left="240"/>
            </w:pPr>
            <w:r>
              <w:t>5</w:t>
            </w:r>
          </w:p>
        </w:tc>
      </w:tr>
      <w:tr w:rsidR="00170F6D" w14:paraId="1D5DC1AD"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71630419" w14:textId="07968C63" w:rsidR="00170F6D" w:rsidRDefault="00170F6D" w:rsidP="00170F6D">
            <w:pPr>
              <w:spacing w:after="0" w:line="240" w:lineRule="auto"/>
              <w:ind w:left="240"/>
            </w:pPr>
            <w:r>
              <w:rPr>
                <w:rFonts w:ascii="Cambria" w:hAnsi="Cambria"/>
                <w:color w:val="000000"/>
              </w:rPr>
              <w:t>Carleton</w:t>
            </w:r>
          </w:p>
        </w:tc>
        <w:tc>
          <w:tcPr>
            <w:tcW w:w="1757" w:type="dxa"/>
            <w:tcBorders>
              <w:top w:val="single" w:sz="8" w:space="0" w:color="C1C7CD"/>
              <w:right w:val="single" w:sz="8" w:space="0" w:color="C1C7CD"/>
            </w:tcBorders>
          </w:tcPr>
          <w:p w14:paraId="5F224867" w14:textId="369D522E" w:rsidR="00170F6D" w:rsidRDefault="007B2590" w:rsidP="00170F6D">
            <w:pPr>
              <w:spacing w:after="0" w:line="240" w:lineRule="auto"/>
              <w:ind w:left="240"/>
            </w:pPr>
            <w:r>
              <w:t>100</w:t>
            </w:r>
          </w:p>
        </w:tc>
        <w:tc>
          <w:tcPr>
            <w:tcW w:w="2351" w:type="dxa"/>
            <w:tcBorders>
              <w:top w:val="single" w:sz="8" w:space="0" w:color="C1C7CD"/>
              <w:left w:val="single" w:sz="8" w:space="0" w:color="C1C7CD"/>
            </w:tcBorders>
            <w:tcMar>
              <w:top w:w="75" w:type="dxa"/>
              <w:left w:w="120" w:type="dxa"/>
              <w:bottom w:w="75" w:type="dxa"/>
              <w:right w:w="120" w:type="dxa"/>
            </w:tcMar>
          </w:tcPr>
          <w:p w14:paraId="7EA129EA" w14:textId="366C6E56" w:rsidR="00170F6D" w:rsidRDefault="008E5AD7" w:rsidP="00170F6D">
            <w:pPr>
              <w:spacing w:after="0" w:line="240" w:lineRule="auto"/>
              <w:ind w:left="240"/>
            </w:pPr>
            <w:r>
              <w:t>6.00</w:t>
            </w:r>
          </w:p>
        </w:tc>
        <w:tc>
          <w:tcPr>
            <w:tcW w:w="2511" w:type="dxa"/>
            <w:tcBorders>
              <w:top w:val="single" w:sz="8" w:space="0" w:color="C1C7CD"/>
              <w:left w:val="single" w:sz="8" w:space="0" w:color="C1C7CD"/>
            </w:tcBorders>
            <w:tcMar>
              <w:top w:w="75" w:type="dxa"/>
              <w:left w:w="120" w:type="dxa"/>
              <w:bottom w:w="75" w:type="dxa"/>
              <w:right w:w="120" w:type="dxa"/>
            </w:tcMar>
          </w:tcPr>
          <w:p w14:paraId="07D1F983" w14:textId="1ACA5A7A" w:rsidR="00170F6D" w:rsidRDefault="00170F6D" w:rsidP="00170F6D">
            <w:pPr>
              <w:spacing w:after="0" w:line="240" w:lineRule="auto"/>
              <w:ind w:left="240"/>
            </w:pPr>
            <w:r>
              <w:t>4</w:t>
            </w:r>
          </w:p>
        </w:tc>
      </w:tr>
      <w:tr w:rsidR="00170F6D" w14:paraId="5274E440"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30DBCE55" w14:textId="17A8A160" w:rsidR="00170F6D" w:rsidRDefault="00170F6D" w:rsidP="00170F6D">
            <w:pPr>
              <w:spacing w:after="0" w:line="240" w:lineRule="auto"/>
              <w:ind w:left="240"/>
            </w:pPr>
            <w:r>
              <w:rPr>
                <w:rFonts w:ascii="Cambria" w:hAnsi="Cambria"/>
                <w:color w:val="000000"/>
              </w:rPr>
              <w:t>Trent</w:t>
            </w:r>
          </w:p>
        </w:tc>
        <w:tc>
          <w:tcPr>
            <w:tcW w:w="1757" w:type="dxa"/>
            <w:tcBorders>
              <w:top w:val="single" w:sz="8" w:space="0" w:color="C1C7CD"/>
              <w:right w:val="single" w:sz="8" w:space="0" w:color="C1C7CD"/>
            </w:tcBorders>
          </w:tcPr>
          <w:p w14:paraId="6B7DF9D0" w14:textId="6A5253FE" w:rsidR="00170F6D" w:rsidRDefault="007B2590" w:rsidP="00170F6D">
            <w:pPr>
              <w:spacing w:after="0" w:line="240" w:lineRule="auto"/>
              <w:ind w:left="240"/>
            </w:pPr>
            <w:r>
              <w:t>75.0</w:t>
            </w:r>
          </w:p>
        </w:tc>
        <w:tc>
          <w:tcPr>
            <w:tcW w:w="2351" w:type="dxa"/>
            <w:tcBorders>
              <w:top w:val="single" w:sz="8" w:space="0" w:color="C1C7CD"/>
              <w:left w:val="single" w:sz="8" w:space="0" w:color="C1C7CD"/>
            </w:tcBorders>
            <w:tcMar>
              <w:top w:w="75" w:type="dxa"/>
              <w:left w:w="120" w:type="dxa"/>
              <w:bottom w:w="75" w:type="dxa"/>
              <w:right w:w="120" w:type="dxa"/>
            </w:tcMar>
          </w:tcPr>
          <w:p w14:paraId="7B876D77" w14:textId="63597848" w:rsidR="00170F6D" w:rsidRDefault="008E5AD7" w:rsidP="00170F6D">
            <w:pPr>
              <w:spacing w:after="0" w:line="240" w:lineRule="auto"/>
              <w:ind w:left="240"/>
            </w:pPr>
            <w:r>
              <w:t>3.88</w:t>
            </w:r>
          </w:p>
        </w:tc>
        <w:tc>
          <w:tcPr>
            <w:tcW w:w="2511" w:type="dxa"/>
            <w:tcBorders>
              <w:top w:val="single" w:sz="8" w:space="0" w:color="C1C7CD"/>
              <w:left w:val="single" w:sz="8" w:space="0" w:color="C1C7CD"/>
            </w:tcBorders>
            <w:tcMar>
              <w:top w:w="75" w:type="dxa"/>
              <w:left w:w="120" w:type="dxa"/>
              <w:bottom w:w="75" w:type="dxa"/>
              <w:right w:w="120" w:type="dxa"/>
            </w:tcMar>
          </w:tcPr>
          <w:p w14:paraId="157F5F3A" w14:textId="53DE9713" w:rsidR="00170F6D" w:rsidRDefault="00170F6D" w:rsidP="00170F6D">
            <w:pPr>
              <w:spacing w:after="0" w:line="240" w:lineRule="auto"/>
              <w:ind w:left="240"/>
            </w:pPr>
            <w:r>
              <w:t>4</w:t>
            </w:r>
          </w:p>
        </w:tc>
      </w:tr>
      <w:tr w:rsidR="00170F6D" w14:paraId="2EC9A7C3"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69653D38" w14:textId="2A649646" w:rsidR="00170F6D" w:rsidRDefault="00170F6D" w:rsidP="00170F6D">
            <w:pPr>
              <w:spacing w:after="0" w:line="240" w:lineRule="auto"/>
              <w:ind w:left="240"/>
            </w:pPr>
            <w:r>
              <w:rPr>
                <w:rFonts w:ascii="Cambria" w:hAnsi="Cambria"/>
                <w:color w:val="000000"/>
              </w:rPr>
              <w:t>Brock</w:t>
            </w:r>
          </w:p>
        </w:tc>
        <w:tc>
          <w:tcPr>
            <w:tcW w:w="1757" w:type="dxa"/>
            <w:tcBorders>
              <w:top w:val="single" w:sz="8" w:space="0" w:color="C1C7CD"/>
              <w:right w:val="single" w:sz="8" w:space="0" w:color="C1C7CD"/>
            </w:tcBorders>
          </w:tcPr>
          <w:p w14:paraId="51ACF4A3" w14:textId="3D8059F0" w:rsidR="00170F6D" w:rsidRDefault="007B2590" w:rsidP="00170F6D">
            <w:pPr>
              <w:spacing w:after="0" w:line="240" w:lineRule="auto"/>
              <w:ind w:left="240"/>
            </w:pPr>
            <w:r>
              <w:t>100</w:t>
            </w:r>
          </w:p>
        </w:tc>
        <w:tc>
          <w:tcPr>
            <w:tcW w:w="2351" w:type="dxa"/>
            <w:tcBorders>
              <w:top w:val="single" w:sz="8" w:space="0" w:color="C1C7CD"/>
              <w:left w:val="single" w:sz="8" w:space="0" w:color="C1C7CD"/>
            </w:tcBorders>
            <w:tcMar>
              <w:top w:w="75" w:type="dxa"/>
              <w:left w:w="120" w:type="dxa"/>
              <w:bottom w:w="75" w:type="dxa"/>
              <w:right w:w="120" w:type="dxa"/>
            </w:tcMar>
          </w:tcPr>
          <w:p w14:paraId="6BEA829B" w14:textId="6CA124FF" w:rsidR="00170F6D" w:rsidRDefault="008E5AD7" w:rsidP="00170F6D">
            <w:pPr>
              <w:spacing w:after="0" w:line="240" w:lineRule="auto"/>
              <w:ind w:left="240"/>
            </w:pPr>
            <w:r>
              <w:t>4.50</w:t>
            </w:r>
          </w:p>
        </w:tc>
        <w:tc>
          <w:tcPr>
            <w:tcW w:w="2511" w:type="dxa"/>
            <w:tcBorders>
              <w:top w:val="single" w:sz="8" w:space="0" w:color="C1C7CD"/>
              <w:left w:val="single" w:sz="8" w:space="0" w:color="C1C7CD"/>
            </w:tcBorders>
            <w:tcMar>
              <w:top w:w="75" w:type="dxa"/>
              <w:left w:w="120" w:type="dxa"/>
              <w:bottom w:w="75" w:type="dxa"/>
              <w:right w:w="120" w:type="dxa"/>
            </w:tcMar>
          </w:tcPr>
          <w:p w14:paraId="1EA1586A" w14:textId="711FA52A" w:rsidR="00170F6D" w:rsidRDefault="00170F6D" w:rsidP="00170F6D">
            <w:pPr>
              <w:spacing w:after="0" w:line="240" w:lineRule="auto"/>
              <w:ind w:left="240"/>
            </w:pPr>
            <w:r>
              <w:t>4</w:t>
            </w:r>
          </w:p>
        </w:tc>
      </w:tr>
      <w:tr w:rsidR="00170F6D" w14:paraId="7646DE19"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461010A7" w14:textId="6FE5CB4D" w:rsidR="00170F6D" w:rsidRDefault="00170F6D" w:rsidP="00170F6D">
            <w:pPr>
              <w:spacing w:after="0" w:line="240" w:lineRule="auto"/>
              <w:ind w:left="240"/>
              <w:rPr>
                <w:rFonts w:ascii="Cambria" w:hAnsi="Cambria"/>
                <w:color w:val="000000"/>
              </w:rPr>
            </w:pPr>
            <w:r>
              <w:rPr>
                <w:rFonts w:ascii="Cambria" w:hAnsi="Cambria"/>
                <w:color w:val="000000"/>
              </w:rPr>
              <w:t>OCADU</w:t>
            </w:r>
          </w:p>
        </w:tc>
        <w:tc>
          <w:tcPr>
            <w:tcW w:w="1757" w:type="dxa"/>
            <w:tcBorders>
              <w:top w:val="single" w:sz="8" w:space="0" w:color="C1C7CD"/>
              <w:right w:val="single" w:sz="8" w:space="0" w:color="C1C7CD"/>
            </w:tcBorders>
          </w:tcPr>
          <w:p w14:paraId="043B935B" w14:textId="5473E3B8" w:rsidR="00170F6D" w:rsidRDefault="007B2590" w:rsidP="00170F6D">
            <w:pPr>
              <w:spacing w:after="0" w:line="240" w:lineRule="auto"/>
              <w:ind w:left="240"/>
              <w:rPr>
                <w:rFonts w:ascii="Cambria" w:hAnsi="Cambria"/>
                <w:color w:val="000000"/>
              </w:rPr>
            </w:pPr>
            <w:r>
              <w:rPr>
                <w:rFonts w:ascii="Cambria" w:hAnsi="Cambria"/>
                <w:color w:val="000000"/>
              </w:rPr>
              <w:t>100</w:t>
            </w:r>
          </w:p>
        </w:tc>
        <w:tc>
          <w:tcPr>
            <w:tcW w:w="2351" w:type="dxa"/>
            <w:tcBorders>
              <w:top w:val="single" w:sz="8" w:space="0" w:color="C1C7CD"/>
              <w:left w:val="single" w:sz="8" w:space="0" w:color="C1C7CD"/>
            </w:tcBorders>
            <w:tcMar>
              <w:top w:w="75" w:type="dxa"/>
              <w:left w:w="120" w:type="dxa"/>
              <w:bottom w:w="75" w:type="dxa"/>
              <w:right w:w="120" w:type="dxa"/>
            </w:tcMar>
          </w:tcPr>
          <w:p w14:paraId="715BB274" w14:textId="1A4D83BF" w:rsidR="00170F6D" w:rsidRDefault="008E5AD7" w:rsidP="00170F6D">
            <w:pPr>
              <w:spacing w:after="0" w:line="240" w:lineRule="auto"/>
              <w:ind w:left="240"/>
              <w:rPr>
                <w:rFonts w:ascii="Cambria" w:hAnsi="Cambria"/>
                <w:color w:val="000000"/>
              </w:rPr>
            </w:pPr>
            <w:r>
              <w:rPr>
                <w:rFonts w:ascii="Cambria" w:hAnsi="Cambria"/>
                <w:color w:val="000000"/>
              </w:rPr>
              <w:t>3.83</w:t>
            </w:r>
          </w:p>
        </w:tc>
        <w:tc>
          <w:tcPr>
            <w:tcW w:w="2511" w:type="dxa"/>
            <w:tcBorders>
              <w:top w:val="single" w:sz="8" w:space="0" w:color="C1C7CD"/>
              <w:left w:val="single" w:sz="8" w:space="0" w:color="C1C7CD"/>
            </w:tcBorders>
            <w:tcMar>
              <w:top w:w="75" w:type="dxa"/>
              <w:left w:w="120" w:type="dxa"/>
              <w:bottom w:w="75" w:type="dxa"/>
              <w:right w:w="120" w:type="dxa"/>
            </w:tcMar>
          </w:tcPr>
          <w:p w14:paraId="65D9F989" w14:textId="7079E6D0" w:rsidR="00170F6D" w:rsidRDefault="00170F6D" w:rsidP="00170F6D">
            <w:pPr>
              <w:spacing w:after="0" w:line="240" w:lineRule="auto"/>
              <w:ind w:left="240"/>
            </w:pPr>
            <w:r>
              <w:t>3</w:t>
            </w:r>
          </w:p>
        </w:tc>
      </w:tr>
      <w:tr w:rsidR="00170F6D" w14:paraId="30A3045E"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0935A1BC" w14:textId="0CA2EDAB" w:rsidR="00170F6D" w:rsidRDefault="00170F6D" w:rsidP="00170F6D">
            <w:pPr>
              <w:spacing w:after="0" w:line="240" w:lineRule="auto"/>
              <w:ind w:left="240"/>
            </w:pPr>
            <w:r>
              <w:rPr>
                <w:rFonts w:ascii="Cambria" w:hAnsi="Cambria"/>
                <w:color w:val="000000"/>
              </w:rPr>
              <w:t>Windsor</w:t>
            </w:r>
          </w:p>
        </w:tc>
        <w:tc>
          <w:tcPr>
            <w:tcW w:w="1757" w:type="dxa"/>
            <w:tcBorders>
              <w:top w:val="single" w:sz="8" w:space="0" w:color="C1C7CD"/>
              <w:right w:val="single" w:sz="8" w:space="0" w:color="C1C7CD"/>
            </w:tcBorders>
          </w:tcPr>
          <w:p w14:paraId="232CD0F9" w14:textId="01739923" w:rsidR="00170F6D" w:rsidRDefault="007B2590" w:rsidP="00170F6D">
            <w:pPr>
              <w:spacing w:after="0" w:line="240" w:lineRule="auto"/>
              <w:ind w:left="240"/>
            </w:pPr>
            <w:r>
              <w:t>100</w:t>
            </w:r>
          </w:p>
        </w:tc>
        <w:tc>
          <w:tcPr>
            <w:tcW w:w="2351" w:type="dxa"/>
            <w:tcBorders>
              <w:top w:val="single" w:sz="8" w:space="0" w:color="C1C7CD"/>
              <w:left w:val="single" w:sz="8" w:space="0" w:color="C1C7CD"/>
            </w:tcBorders>
            <w:tcMar>
              <w:top w:w="75" w:type="dxa"/>
              <w:left w:w="120" w:type="dxa"/>
              <w:bottom w:w="75" w:type="dxa"/>
              <w:right w:w="120" w:type="dxa"/>
            </w:tcMar>
          </w:tcPr>
          <w:p w14:paraId="698A5E1E" w14:textId="6DFBFD19" w:rsidR="00170F6D" w:rsidRDefault="008E5AD7" w:rsidP="00170F6D">
            <w:pPr>
              <w:spacing w:after="0" w:line="240" w:lineRule="auto"/>
              <w:ind w:left="240"/>
            </w:pPr>
            <w:r>
              <w:t>5.50</w:t>
            </w:r>
          </w:p>
        </w:tc>
        <w:tc>
          <w:tcPr>
            <w:tcW w:w="2511" w:type="dxa"/>
            <w:tcBorders>
              <w:top w:val="single" w:sz="8" w:space="0" w:color="C1C7CD"/>
              <w:left w:val="single" w:sz="8" w:space="0" w:color="C1C7CD"/>
            </w:tcBorders>
            <w:tcMar>
              <w:top w:w="75" w:type="dxa"/>
              <w:left w:w="120" w:type="dxa"/>
              <w:bottom w:w="75" w:type="dxa"/>
              <w:right w:w="120" w:type="dxa"/>
            </w:tcMar>
          </w:tcPr>
          <w:p w14:paraId="7C49A745" w14:textId="1676C6E5" w:rsidR="00170F6D" w:rsidRDefault="00170F6D" w:rsidP="00170F6D">
            <w:pPr>
              <w:spacing w:after="0" w:line="240" w:lineRule="auto"/>
              <w:ind w:left="240"/>
            </w:pPr>
            <w:r>
              <w:t>2</w:t>
            </w:r>
          </w:p>
        </w:tc>
      </w:tr>
      <w:tr w:rsidR="00170F6D" w14:paraId="7C6740E0"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2BA50DBC" w14:textId="618482D9" w:rsidR="00170F6D" w:rsidRDefault="00170F6D" w:rsidP="00170F6D">
            <w:pPr>
              <w:spacing w:after="0" w:line="240" w:lineRule="auto"/>
              <w:ind w:left="240"/>
              <w:rPr>
                <w:rFonts w:ascii="Cambria" w:hAnsi="Cambria"/>
                <w:color w:val="000000"/>
              </w:rPr>
            </w:pPr>
            <w:r>
              <w:rPr>
                <w:rFonts w:ascii="Cambria" w:hAnsi="Cambria"/>
                <w:color w:val="000000"/>
              </w:rPr>
              <w:t>Algoma</w:t>
            </w:r>
          </w:p>
        </w:tc>
        <w:tc>
          <w:tcPr>
            <w:tcW w:w="1757" w:type="dxa"/>
            <w:tcBorders>
              <w:top w:val="single" w:sz="8" w:space="0" w:color="C1C7CD"/>
              <w:right w:val="single" w:sz="8" w:space="0" w:color="C1C7CD"/>
            </w:tcBorders>
          </w:tcPr>
          <w:p w14:paraId="0A6FFC9E" w14:textId="154DDDFD" w:rsidR="00170F6D" w:rsidRDefault="007B2590" w:rsidP="00170F6D">
            <w:pPr>
              <w:spacing w:after="0" w:line="240" w:lineRule="auto"/>
              <w:ind w:left="240"/>
              <w:rPr>
                <w:rFonts w:ascii="Cambria" w:hAnsi="Cambria"/>
                <w:color w:val="000000"/>
              </w:rPr>
            </w:pPr>
            <w:r>
              <w:rPr>
                <w:rFonts w:ascii="Cambria" w:hAnsi="Cambria"/>
                <w:color w:val="000000"/>
              </w:rPr>
              <w:t>100</w:t>
            </w:r>
          </w:p>
        </w:tc>
        <w:tc>
          <w:tcPr>
            <w:tcW w:w="2351" w:type="dxa"/>
            <w:tcBorders>
              <w:top w:val="single" w:sz="8" w:space="0" w:color="C1C7CD"/>
              <w:left w:val="single" w:sz="8" w:space="0" w:color="C1C7CD"/>
            </w:tcBorders>
            <w:tcMar>
              <w:top w:w="75" w:type="dxa"/>
              <w:left w:w="120" w:type="dxa"/>
              <w:bottom w:w="75" w:type="dxa"/>
              <w:right w:w="120" w:type="dxa"/>
            </w:tcMar>
          </w:tcPr>
          <w:p w14:paraId="760CAFB3" w14:textId="74C351EB" w:rsidR="00170F6D" w:rsidRDefault="008E5AD7" w:rsidP="00170F6D">
            <w:pPr>
              <w:spacing w:after="0" w:line="240" w:lineRule="auto"/>
              <w:ind w:left="240"/>
              <w:rPr>
                <w:rFonts w:ascii="Cambria" w:hAnsi="Cambria"/>
                <w:color w:val="000000"/>
              </w:rPr>
            </w:pPr>
            <w:r>
              <w:rPr>
                <w:rFonts w:ascii="Cambria" w:hAnsi="Cambria"/>
                <w:color w:val="000000"/>
              </w:rPr>
              <w:t>8.00</w:t>
            </w:r>
          </w:p>
        </w:tc>
        <w:tc>
          <w:tcPr>
            <w:tcW w:w="2511" w:type="dxa"/>
            <w:tcBorders>
              <w:top w:val="single" w:sz="8" w:space="0" w:color="C1C7CD"/>
              <w:left w:val="single" w:sz="8" w:space="0" w:color="C1C7CD"/>
            </w:tcBorders>
            <w:tcMar>
              <w:top w:w="75" w:type="dxa"/>
              <w:left w:w="120" w:type="dxa"/>
              <w:bottom w:w="75" w:type="dxa"/>
              <w:right w:w="120" w:type="dxa"/>
            </w:tcMar>
          </w:tcPr>
          <w:p w14:paraId="5FBD4E07" w14:textId="75836CA4" w:rsidR="00170F6D" w:rsidRDefault="00170F6D" w:rsidP="00170F6D">
            <w:pPr>
              <w:spacing w:after="0" w:line="240" w:lineRule="auto"/>
              <w:ind w:left="240"/>
            </w:pPr>
            <w:r>
              <w:t>1</w:t>
            </w:r>
          </w:p>
        </w:tc>
      </w:tr>
      <w:tr w:rsidR="00170F6D" w14:paraId="67FB8A40"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322BC565" w14:textId="339CB4D8" w:rsidR="00170F6D" w:rsidRDefault="00170F6D" w:rsidP="00170F6D">
            <w:pPr>
              <w:spacing w:after="0" w:line="240" w:lineRule="auto"/>
              <w:ind w:left="240"/>
              <w:rPr>
                <w:rFonts w:ascii="Cambria" w:hAnsi="Cambria"/>
                <w:color w:val="000000"/>
              </w:rPr>
            </w:pPr>
            <w:r>
              <w:rPr>
                <w:rFonts w:ascii="Cambria" w:hAnsi="Cambria"/>
                <w:color w:val="000000"/>
              </w:rPr>
              <w:lastRenderedPageBreak/>
              <w:t>Laurentian</w:t>
            </w:r>
          </w:p>
        </w:tc>
        <w:tc>
          <w:tcPr>
            <w:tcW w:w="1757" w:type="dxa"/>
            <w:tcBorders>
              <w:top w:val="single" w:sz="8" w:space="0" w:color="C1C7CD"/>
              <w:right w:val="single" w:sz="8" w:space="0" w:color="C1C7CD"/>
            </w:tcBorders>
          </w:tcPr>
          <w:p w14:paraId="486114B6" w14:textId="2EE4E821" w:rsidR="00170F6D" w:rsidRDefault="007B2590" w:rsidP="00170F6D">
            <w:pPr>
              <w:spacing w:after="0" w:line="240" w:lineRule="auto"/>
              <w:ind w:left="240"/>
              <w:rPr>
                <w:rFonts w:ascii="Cambria" w:hAnsi="Cambria"/>
                <w:color w:val="000000"/>
              </w:rPr>
            </w:pPr>
            <w:r>
              <w:rPr>
                <w:rFonts w:ascii="Cambria" w:hAnsi="Cambria"/>
                <w:color w:val="000000"/>
              </w:rPr>
              <w:t>100</w:t>
            </w:r>
          </w:p>
        </w:tc>
        <w:tc>
          <w:tcPr>
            <w:tcW w:w="2351" w:type="dxa"/>
            <w:tcBorders>
              <w:top w:val="single" w:sz="8" w:space="0" w:color="C1C7CD"/>
              <w:left w:val="single" w:sz="8" w:space="0" w:color="C1C7CD"/>
            </w:tcBorders>
            <w:tcMar>
              <w:top w:w="75" w:type="dxa"/>
              <w:left w:w="120" w:type="dxa"/>
              <w:bottom w:w="75" w:type="dxa"/>
              <w:right w:w="120" w:type="dxa"/>
            </w:tcMar>
          </w:tcPr>
          <w:p w14:paraId="544077E0" w14:textId="7912B930" w:rsidR="00170F6D" w:rsidRDefault="008E5AD7" w:rsidP="00170F6D">
            <w:pPr>
              <w:spacing w:after="0" w:line="240" w:lineRule="auto"/>
              <w:ind w:left="240"/>
              <w:rPr>
                <w:rFonts w:ascii="Cambria" w:hAnsi="Cambria"/>
                <w:color w:val="000000"/>
              </w:rPr>
            </w:pPr>
            <w:r>
              <w:rPr>
                <w:rFonts w:ascii="Cambria" w:hAnsi="Cambria"/>
                <w:color w:val="000000"/>
              </w:rPr>
              <w:t>4.00</w:t>
            </w:r>
          </w:p>
        </w:tc>
        <w:tc>
          <w:tcPr>
            <w:tcW w:w="2511" w:type="dxa"/>
            <w:tcBorders>
              <w:top w:val="single" w:sz="8" w:space="0" w:color="C1C7CD"/>
              <w:left w:val="single" w:sz="8" w:space="0" w:color="C1C7CD"/>
            </w:tcBorders>
            <w:tcMar>
              <w:top w:w="75" w:type="dxa"/>
              <w:left w:w="120" w:type="dxa"/>
              <w:bottom w:w="75" w:type="dxa"/>
              <w:right w:w="120" w:type="dxa"/>
            </w:tcMar>
          </w:tcPr>
          <w:p w14:paraId="4843B174" w14:textId="6D6C7604" w:rsidR="00170F6D" w:rsidRDefault="00170F6D" w:rsidP="00170F6D">
            <w:pPr>
              <w:spacing w:after="0" w:line="240" w:lineRule="auto"/>
              <w:ind w:left="240"/>
            </w:pPr>
            <w:r>
              <w:t>1</w:t>
            </w:r>
          </w:p>
        </w:tc>
      </w:tr>
      <w:tr w:rsidR="00170F6D" w14:paraId="76E2884D"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144172A6" w14:textId="1DD29F88" w:rsidR="00170F6D" w:rsidRDefault="00170F6D" w:rsidP="00170F6D">
            <w:pPr>
              <w:spacing w:after="0" w:line="240" w:lineRule="auto"/>
              <w:ind w:left="240"/>
              <w:rPr>
                <w:rFonts w:ascii="Cambria" w:hAnsi="Cambria"/>
                <w:color w:val="000000"/>
              </w:rPr>
            </w:pPr>
            <w:r>
              <w:rPr>
                <w:rFonts w:ascii="Cambria" w:hAnsi="Cambria"/>
                <w:color w:val="000000"/>
              </w:rPr>
              <w:t>Sacred Heart College</w:t>
            </w:r>
          </w:p>
        </w:tc>
        <w:tc>
          <w:tcPr>
            <w:tcW w:w="1757" w:type="dxa"/>
            <w:tcBorders>
              <w:top w:val="single" w:sz="8" w:space="0" w:color="C1C7CD"/>
              <w:right w:val="single" w:sz="8" w:space="0" w:color="C1C7CD"/>
            </w:tcBorders>
          </w:tcPr>
          <w:p w14:paraId="0C572467" w14:textId="688CDBFA" w:rsidR="00170F6D" w:rsidRDefault="007B2590" w:rsidP="00170F6D">
            <w:pPr>
              <w:spacing w:after="0" w:line="240" w:lineRule="auto"/>
              <w:ind w:left="240"/>
              <w:rPr>
                <w:rFonts w:ascii="Cambria" w:hAnsi="Cambria"/>
                <w:color w:val="000000"/>
              </w:rPr>
            </w:pPr>
            <w:r>
              <w:rPr>
                <w:rFonts w:ascii="Cambria" w:hAnsi="Cambria"/>
                <w:color w:val="000000"/>
              </w:rPr>
              <w:t>0.00</w:t>
            </w:r>
          </w:p>
        </w:tc>
        <w:tc>
          <w:tcPr>
            <w:tcW w:w="2351" w:type="dxa"/>
            <w:tcBorders>
              <w:top w:val="single" w:sz="8" w:space="0" w:color="C1C7CD"/>
              <w:left w:val="single" w:sz="8" w:space="0" w:color="C1C7CD"/>
            </w:tcBorders>
            <w:tcMar>
              <w:top w:w="75" w:type="dxa"/>
              <w:left w:w="120" w:type="dxa"/>
              <w:bottom w:w="75" w:type="dxa"/>
              <w:right w:w="120" w:type="dxa"/>
            </w:tcMar>
          </w:tcPr>
          <w:p w14:paraId="2DD80EA4" w14:textId="3C261AB4" w:rsidR="00170F6D" w:rsidRDefault="008E5AD7" w:rsidP="00170F6D">
            <w:pPr>
              <w:spacing w:after="0" w:line="240" w:lineRule="auto"/>
              <w:ind w:left="240"/>
              <w:rPr>
                <w:rFonts w:ascii="Cambria" w:hAnsi="Cambria"/>
                <w:color w:val="000000"/>
              </w:rPr>
            </w:pPr>
            <w:r>
              <w:rPr>
                <w:rFonts w:ascii="Cambria" w:hAnsi="Cambria"/>
                <w:color w:val="000000"/>
              </w:rPr>
              <w:t>0.00</w:t>
            </w:r>
          </w:p>
        </w:tc>
        <w:tc>
          <w:tcPr>
            <w:tcW w:w="2511" w:type="dxa"/>
            <w:tcBorders>
              <w:top w:val="single" w:sz="8" w:space="0" w:color="C1C7CD"/>
              <w:left w:val="single" w:sz="8" w:space="0" w:color="C1C7CD"/>
            </w:tcBorders>
            <w:tcMar>
              <w:top w:w="75" w:type="dxa"/>
              <w:left w:w="120" w:type="dxa"/>
              <w:bottom w:w="75" w:type="dxa"/>
              <w:right w:w="120" w:type="dxa"/>
            </w:tcMar>
          </w:tcPr>
          <w:p w14:paraId="54B6763B" w14:textId="5FB38E65" w:rsidR="00170F6D" w:rsidRDefault="00170F6D" w:rsidP="00170F6D">
            <w:pPr>
              <w:spacing w:after="0" w:line="240" w:lineRule="auto"/>
              <w:ind w:left="240"/>
            </w:pPr>
            <w:r>
              <w:t>1</w:t>
            </w:r>
          </w:p>
        </w:tc>
      </w:tr>
      <w:tr w:rsidR="00170F6D" w14:paraId="2D625AD7"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4E5A6DE3" w14:textId="343EEED0" w:rsidR="00170F6D" w:rsidRDefault="00170F6D" w:rsidP="00170F6D">
            <w:pPr>
              <w:spacing w:after="0" w:line="240" w:lineRule="auto"/>
              <w:ind w:left="240"/>
              <w:rPr>
                <w:rFonts w:ascii="Cambria" w:hAnsi="Cambria"/>
                <w:color w:val="000000"/>
              </w:rPr>
            </w:pPr>
            <w:r>
              <w:rPr>
                <w:rFonts w:ascii="Cambria" w:hAnsi="Cambria"/>
                <w:color w:val="000000"/>
              </w:rPr>
              <w:t>Lakehead</w:t>
            </w:r>
          </w:p>
        </w:tc>
        <w:tc>
          <w:tcPr>
            <w:tcW w:w="1757" w:type="dxa"/>
            <w:tcBorders>
              <w:top w:val="single" w:sz="8" w:space="0" w:color="C1C7CD"/>
              <w:right w:val="single" w:sz="8" w:space="0" w:color="C1C7CD"/>
            </w:tcBorders>
          </w:tcPr>
          <w:p w14:paraId="271CF06F" w14:textId="5FD90610" w:rsidR="00170F6D" w:rsidRDefault="007B2590" w:rsidP="00170F6D">
            <w:pPr>
              <w:spacing w:after="0" w:line="240" w:lineRule="auto"/>
              <w:ind w:left="240"/>
              <w:rPr>
                <w:rFonts w:ascii="Cambria" w:hAnsi="Cambria"/>
                <w:color w:val="000000"/>
              </w:rPr>
            </w:pPr>
            <w:r>
              <w:rPr>
                <w:rFonts w:ascii="Cambria" w:hAnsi="Cambria"/>
                <w:color w:val="000000"/>
              </w:rPr>
              <w:t>100</w:t>
            </w:r>
          </w:p>
        </w:tc>
        <w:tc>
          <w:tcPr>
            <w:tcW w:w="2351" w:type="dxa"/>
            <w:tcBorders>
              <w:top w:val="single" w:sz="8" w:space="0" w:color="C1C7CD"/>
              <w:left w:val="single" w:sz="8" w:space="0" w:color="C1C7CD"/>
            </w:tcBorders>
            <w:tcMar>
              <w:top w:w="75" w:type="dxa"/>
              <w:left w:w="120" w:type="dxa"/>
              <w:bottom w:w="75" w:type="dxa"/>
              <w:right w:w="120" w:type="dxa"/>
            </w:tcMar>
          </w:tcPr>
          <w:p w14:paraId="7E368AC8" w14:textId="1B2B1E67" w:rsidR="00170F6D" w:rsidRDefault="008E5AD7" w:rsidP="00170F6D">
            <w:pPr>
              <w:spacing w:after="0" w:line="240" w:lineRule="auto"/>
              <w:ind w:left="240"/>
              <w:rPr>
                <w:rFonts w:ascii="Cambria" w:hAnsi="Cambria"/>
                <w:color w:val="000000"/>
              </w:rPr>
            </w:pPr>
            <w:r>
              <w:rPr>
                <w:rFonts w:ascii="Cambria" w:hAnsi="Cambria"/>
                <w:color w:val="000000"/>
              </w:rPr>
              <w:t>4.00</w:t>
            </w:r>
          </w:p>
        </w:tc>
        <w:tc>
          <w:tcPr>
            <w:tcW w:w="2511" w:type="dxa"/>
            <w:tcBorders>
              <w:top w:val="single" w:sz="8" w:space="0" w:color="C1C7CD"/>
              <w:left w:val="single" w:sz="8" w:space="0" w:color="C1C7CD"/>
            </w:tcBorders>
            <w:tcMar>
              <w:top w:w="75" w:type="dxa"/>
              <w:left w:w="120" w:type="dxa"/>
              <w:bottom w:w="75" w:type="dxa"/>
              <w:right w:w="120" w:type="dxa"/>
            </w:tcMar>
          </w:tcPr>
          <w:p w14:paraId="0D771B63" w14:textId="71699246" w:rsidR="00170F6D" w:rsidRDefault="00170F6D" w:rsidP="00170F6D">
            <w:pPr>
              <w:spacing w:after="0" w:line="240" w:lineRule="auto"/>
              <w:ind w:left="240"/>
            </w:pPr>
            <w:r>
              <w:t>1</w:t>
            </w:r>
          </w:p>
        </w:tc>
      </w:tr>
      <w:tr w:rsidR="00170F6D" w14:paraId="12D48873"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333D24DB" w14:textId="6D5C6332" w:rsidR="00170F6D" w:rsidRDefault="00170F6D" w:rsidP="00170F6D">
            <w:pPr>
              <w:spacing w:after="0" w:line="240" w:lineRule="auto"/>
              <w:ind w:left="240"/>
              <w:rPr>
                <w:rFonts w:ascii="Cambria" w:hAnsi="Cambria"/>
                <w:color w:val="000000"/>
              </w:rPr>
            </w:pPr>
            <w:r>
              <w:rPr>
                <w:rFonts w:ascii="Cambria" w:hAnsi="Cambria"/>
                <w:color w:val="000000"/>
              </w:rPr>
              <w:t>Nipissing</w:t>
            </w:r>
          </w:p>
        </w:tc>
        <w:tc>
          <w:tcPr>
            <w:tcW w:w="1757" w:type="dxa"/>
            <w:tcBorders>
              <w:top w:val="single" w:sz="8" w:space="0" w:color="C1C7CD"/>
              <w:right w:val="single" w:sz="8" w:space="0" w:color="C1C7CD"/>
            </w:tcBorders>
          </w:tcPr>
          <w:p w14:paraId="4CA72945" w14:textId="63459F32" w:rsidR="00170F6D" w:rsidRDefault="007B2590" w:rsidP="00170F6D">
            <w:pPr>
              <w:spacing w:after="0" w:line="240" w:lineRule="auto"/>
              <w:ind w:left="240"/>
              <w:rPr>
                <w:rFonts w:ascii="Cambria" w:hAnsi="Cambria"/>
                <w:color w:val="000000"/>
              </w:rPr>
            </w:pPr>
            <w:r>
              <w:rPr>
                <w:rFonts w:ascii="Cambria" w:hAnsi="Cambria"/>
                <w:color w:val="000000"/>
              </w:rPr>
              <w:t>0.00</w:t>
            </w:r>
          </w:p>
        </w:tc>
        <w:tc>
          <w:tcPr>
            <w:tcW w:w="2351" w:type="dxa"/>
            <w:tcBorders>
              <w:top w:val="single" w:sz="8" w:space="0" w:color="C1C7CD"/>
              <w:left w:val="single" w:sz="8" w:space="0" w:color="C1C7CD"/>
            </w:tcBorders>
            <w:tcMar>
              <w:top w:w="75" w:type="dxa"/>
              <w:left w:w="120" w:type="dxa"/>
              <w:bottom w:w="75" w:type="dxa"/>
              <w:right w:w="120" w:type="dxa"/>
            </w:tcMar>
          </w:tcPr>
          <w:p w14:paraId="4BBBA506" w14:textId="4959E9F5" w:rsidR="00170F6D" w:rsidRDefault="008E5AD7" w:rsidP="00170F6D">
            <w:pPr>
              <w:spacing w:after="0" w:line="240" w:lineRule="auto"/>
              <w:ind w:left="240"/>
              <w:rPr>
                <w:rFonts w:ascii="Cambria" w:hAnsi="Cambria"/>
                <w:color w:val="000000"/>
              </w:rPr>
            </w:pPr>
            <w:r>
              <w:rPr>
                <w:rFonts w:ascii="Cambria" w:hAnsi="Cambria"/>
                <w:color w:val="000000"/>
              </w:rPr>
              <w:t>0.00</w:t>
            </w:r>
          </w:p>
        </w:tc>
        <w:tc>
          <w:tcPr>
            <w:tcW w:w="2511" w:type="dxa"/>
            <w:tcBorders>
              <w:top w:val="single" w:sz="8" w:space="0" w:color="C1C7CD"/>
              <w:left w:val="single" w:sz="8" w:space="0" w:color="C1C7CD"/>
            </w:tcBorders>
            <w:tcMar>
              <w:top w:w="75" w:type="dxa"/>
              <w:left w:w="120" w:type="dxa"/>
              <w:bottom w:w="75" w:type="dxa"/>
              <w:right w:w="120" w:type="dxa"/>
            </w:tcMar>
          </w:tcPr>
          <w:p w14:paraId="78B6AB3F" w14:textId="5EA68F1E" w:rsidR="00170F6D" w:rsidRDefault="00170F6D" w:rsidP="00170F6D">
            <w:pPr>
              <w:spacing w:after="0" w:line="240" w:lineRule="auto"/>
              <w:ind w:left="240"/>
            </w:pPr>
            <w:r>
              <w:t>1</w:t>
            </w:r>
          </w:p>
        </w:tc>
      </w:tr>
      <w:tr w:rsidR="00170F6D" w14:paraId="5BE0530D"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6F55F80B" w14:textId="0C5679DE" w:rsidR="00170F6D" w:rsidRDefault="00170F6D" w:rsidP="00170F6D">
            <w:pPr>
              <w:spacing w:after="0" w:line="240" w:lineRule="auto"/>
              <w:ind w:left="240"/>
              <w:rPr>
                <w:rFonts w:ascii="Cambria" w:hAnsi="Cambria"/>
                <w:color w:val="000000"/>
              </w:rPr>
            </w:pPr>
            <w:r>
              <w:rPr>
                <w:rFonts w:ascii="Cambria" w:hAnsi="Cambria"/>
                <w:color w:val="000000"/>
              </w:rPr>
              <w:t>Toronto Baptist Seminary</w:t>
            </w:r>
          </w:p>
        </w:tc>
        <w:tc>
          <w:tcPr>
            <w:tcW w:w="1757" w:type="dxa"/>
            <w:tcBorders>
              <w:top w:val="single" w:sz="8" w:space="0" w:color="C1C7CD"/>
              <w:right w:val="single" w:sz="8" w:space="0" w:color="C1C7CD"/>
            </w:tcBorders>
          </w:tcPr>
          <w:p w14:paraId="4E921410" w14:textId="752C0B84" w:rsidR="00170F6D" w:rsidRDefault="007B2590" w:rsidP="00170F6D">
            <w:pPr>
              <w:spacing w:after="0" w:line="240" w:lineRule="auto"/>
              <w:ind w:left="240"/>
              <w:rPr>
                <w:rFonts w:ascii="Cambria" w:hAnsi="Cambria"/>
                <w:color w:val="000000"/>
              </w:rPr>
            </w:pPr>
            <w:r>
              <w:rPr>
                <w:rFonts w:ascii="Cambria" w:hAnsi="Cambria"/>
                <w:color w:val="000000"/>
              </w:rPr>
              <w:t>100</w:t>
            </w:r>
          </w:p>
        </w:tc>
        <w:tc>
          <w:tcPr>
            <w:tcW w:w="2351" w:type="dxa"/>
            <w:tcBorders>
              <w:top w:val="single" w:sz="8" w:space="0" w:color="C1C7CD"/>
              <w:left w:val="single" w:sz="8" w:space="0" w:color="C1C7CD"/>
            </w:tcBorders>
            <w:tcMar>
              <w:top w:w="75" w:type="dxa"/>
              <w:left w:w="120" w:type="dxa"/>
              <w:bottom w:w="75" w:type="dxa"/>
              <w:right w:w="120" w:type="dxa"/>
            </w:tcMar>
          </w:tcPr>
          <w:p w14:paraId="5019A0C1" w14:textId="4E4938A7" w:rsidR="00170F6D" w:rsidRDefault="008E5AD7" w:rsidP="00170F6D">
            <w:pPr>
              <w:spacing w:after="0" w:line="240" w:lineRule="auto"/>
              <w:ind w:left="240"/>
              <w:rPr>
                <w:rFonts w:ascii="Cambria" w:hAnsi="Cambria"/>
                <w:color w:val="000000"/>
              </w:rPr>
            </w:pPr>
            <w:r>
              <w:rPr>
                <w:rFonts w:ascii="Cambria" w:hAnsi="Cambria"/>
                <w:color w:val="000000"/>
              </w:rPr>
              <w:t>3.00</w:t>
            </w:r>
          </w:p>
        </w:tc>
        <w:tc>
          <w:tcPr>
            <w:tcW w:w="2511" w:type="dxa"/>
            <w:tcBorders>
              <w:top w:val="single" w:sz="8" w:space="0" w:color="C1C7CD"/>
              <w:left w:val="single" w:sz="8" w:space="0" w:color="C1C7CD"/>
            </w:tcBorders>
            <w:tcMar>
              <w:top w:w="75" w:type="dxa"/>
              <w:left w:w="120" w:type="dxa"/>
              <w:bottom w:w="75" w:type="dxa"/>
              <w:right w:w="120" w:type="dxa"/>
            </w:tcMar>
          </w:tcPr>
          <w:p w14:paraId="0238E61B" w14:textId="7A661700" w:rsidR="00170F6D" w:rsidRDefault="00170F6D" w:rsidP="00170F6D">
            <w:pPr>
              <w:spacing w:after="0" w:line="240" w:lineRule="auto"/>
              <w:ind w:left="240"/>
            </w:pPr>
            <w:r>
              <w:t>1</w:t>
            </w:r>
          </w:p>
        </w:tc>
      </w:tr>
      <w:tr w:rsidR="00170F6D" w14:paraId="29E61CE3"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4EDABA2A" w14:textId="6C8DE122" w:rsidR="00170F6D" w:rsidRDefault="00170F6D" w:rsidP="00170F6D">
            <w:pPr>
              <w:spacing w:after="0" w:line="240" w:lineRule="auto"/>
              <w:ind w:left="240"/>
              <w:rPr>
                <w:rFonts w:ascii="Cambria" w:hAnsi="Cambria"/>
                <w:color w:val="000000"/>
              </w:rPr>
            </w:pPr>
            <w:r>
              <w:rPr>
                <w:rFonts w:ascii="Cambria" w:hAnsi="Cambria"/>
                <w:color w:val="000000"/>
              </w:rPr>
              <w:t>Unrecorded Ontario University</w:t>
            </w:r>
          </w:p>
        </w:tc>
        <w:tc>
          <w:tcPr>
            <w:tcW w:w="1757" w:type="dxa"/>
            <w:tcBorders>
              <w:top w:val="single" w:sz="8" w:space="0" w:color="C1C7CD"/>
              <w:right w:val="single" w:sz="8" w:space="0" w:color="C1C7CD"/>
            </w:tcBorders>
          </w:tcPr>
          <w:p w14:paraId="031FAE5D" w14:textId="6CB3F85F" w:rsidR="00170F6D" w:rsidRDefault="007B2590" w:rsidP="00170F6D">
            <w:pPr>
              <w:spacing w:after="0" w:line="240" w:lineRule="auto"/>
              <w:ind w:left="240"/>
              <w:rPr>
                <w:rFonts w:ascii="Cambria" w:hAnsi="Cambria"/>
                <w:color w:val="000000"/>
              </w:rPr>
            </w:pPr>
            <w:r>
              <w:rPr>
                <w:rFonts w:ascii="Cambria" w:hAnsi="Cambria"/>
                <w:color w:val="000000"/>
              </w:rPr>
              <w:t>100</w:t>
            </w:r>
          </w:p>
        </w:tc>
        <w:tc>
          <w:tcPr>
            <w:tcW w:w="2351" w:type="dxa"/>
            <w:tcBorders>
              <w:top w:val="single" w:sz="8" w:space="0" w:color="C1C7CD"/>
              <w:left w:val="single" w:sz="8" w:space="0" w:color="C1C7CD"/>
            </w:tcBorders>
            <w:tcMar>
              <w:top w:w="75" w:type="dxa"/>
              <w:left w:w="120" w:type="dxa"/>
              <w:bottom w:w="75" w:type="dxa"/>
              <w:right w:w="120" w:type="dxa"/>
            </w:tcMar>
          </w:tcPr>
          <w:p w14:paraId="3824C748" w14:textId="6C744D0D" w:rsidR="00170F6D" w:rsidRDefault="008E5AD7" w:rsidP="00170F6D">
            <w:pPr>
              <w:spacing w:after="0" w:line="240" w:lineRule="auto"/>
              <w:ind w:left="240"/>
              <w:rPr>
                <w:rFonts w:ascii="Cambria" w:hAnsi="Cambria"/>
                <w:color w:val="000000"/>
              </w:rPr>
            </w:pPr>
            <w:r>
              <w:rPr>
                <w:rFonts w:ascii="Cambria" w:hAnsi="Cambria"/>
                <w:color w:val="000000"/>
              </w:rPr>
              <w:t>1.00</w:t>
            </w:r>
          </w:p>
        </w:tc>
        <w:tc>
          <w:tcPr>
            <w:tcW w:w="2511" w:type="dxa"/>
            <w:tcBorders>
              <w:top w:val="single" w:sz="8" w:space="0" w:color="C1C7CD"/>
              <w:left w:val="single" w:sz="8" w:space="0" w:color="C1C7CD"/>
            </w:tcBorders>
            <w:tcMar>
              <w:top w:w="75" w:type="dxa"/>
              <w:left w:w="120" w:type="dxa"/>
              <w:bottom w:w="75" w:type="dxa"/>
              <w:right w:w="120" w:type="dxa"/>
            </w:tcMar>
          </w:tcPr>
          <w:p w14:paraId="75FDEFD1" w14:textId="5C691B56" w:rsidR="00170F6D" w:rsidRDefault="00170F6D" w:rsidP="00170F6D">
            <w:pPr>
              <w:spacing w:after="0" w:line="240" w:lineRule="auto"/>
              <w:ind w:left="240"/>
            </w:pPr>
            <w:r>
              <w:t>1</w:t>
            </w:r>
          </w:p>
        </w:tc>
      </w:tr>
      <w:tr w:rsidR="00170F6D" w14:paraId="0B5C8A62"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78EB5F30" w14:textId="77777777" w:rsidR="00170F6D" w:rsidRDefault="00170F6D" w:rsidP="00170F6D">
            <w:pPr>
              <w:spacing w:after="0" w:line="240" w:lineRule="auto"/>
              <w:ind w:left="240"/>
            </w:pPr>
            <w:r>
              <w:rPr>
                <w:rFonts w:ascii="Cambria" w:hAnsi="Cambria"/>
                <w:b/>
                <w:color w:val="000000"/>
              </w:rPr>
              <w:t>Other Canadian Universities</w:t>
            </w:r>
          </w:p>
        </w:tc>
        <w:tc>
          <w:tcPr>
            <w:tcW w:w="1757" w:type="dxa"/>
            <w:tcBorders>
              <w:top w:val="single" w:sz="8" w:space="0" w:color="C1C7CD"/>
              <w:right w:val="single" w:sz="8" w:space="0" w:color="C1C7CD"/>
            </w:tcBorders>
          </w:tcPr>
          <w:p w14:paraId="2241FD40" w14:textId="77777777" w:rsidR="00170F6D" w:rsidRDefault="00170F6D" w:rsidP="00170F6D">
            <w:pPr>
              <w:spacing w:after="0" w:line="240" w:lineRule="auto"/>
              <w:ind w:left="240"/>
              <w:rPr>
                <w:rFonts w:ascii="Cambria" w:hAnsi="Cambria"/>
                <w:b/>
                <w:color w:val="000000"/>
              </w:rPr>
            </w:pPr>
          </w:p>
        </w:tc>
        <w:tc>
          <w:tcPr>
            <w:tcW w:w="2351" w:type="dxa"/>
            <w:tcBorders>
              <w:top w:val="single" w:sz="8" w:space="0" w:color="C1C7CD"/>
              <w:left w:val="single" w:sz="8" w:space="0" w:color="C1C7CD"/>
            </w:tcBorders>
            <w:tcMar>
              <w:top w:w="75" w:type="dxa"/>
              <w:left w:w="120" w:type="dxa"/>
              <w:bottom w:w="75" w:type="dxa"/>
              <w:right w:w="120" w:type="dxa"/>
            </w:tcMar>
          </w:tcPr>
          <w:p w14:paraId="78AFBADB" w14:textId="15F2E4D8" w:rsidR="00170F6D" w:rsidRDefault="00170F6D" w:rsidP="00170F6D">
            <w:pPr>
              <w:spacing w:after="0" w:line="240" w:lineRule="auto"/>
              <w:ind w:left="240"/>
            </w:pPr>
            <w:r>
              <w:rPr>
                <w:rFonts w:ascii="Cambria" w:hAnsi="Cambria"/>
                <w:b/>
                <w:color w:val="000000"/>
              </w:rPr>
              <w:t> </w:t>
            </w:r>
          </w:p>
        </w:tc>
        <w:tc>
          <w:tcPr>
            <w:tcW w:w="2511" w:type="dxa"/>
            <w:tcBorders>
              <w:top w:val="single" w:sz="8" w:space="0" w:color="C1C7CD"/>
              <w:left w:val="single" w:sz="8" w:space="0" w:color="C1C7CD"/>
            </w:tcBorders>
            <w:tcMar>
              <w:top w:w="75" w:type="dxa"/>
              <w:left w:w="120" w:type="dxa"/>
              <w:bottom w:w="75" w:type="dxa"/>
              <w:right w:w="120" w:type="dxa"/>
            </w:tcMar>
          </w:tcPr>
          <w:p w14:paraId="08A05EAB" w14:textId="77777777" w:rsidR="00170F6D" w:rsidRDefault="00170F6D" w:rsidP="00170F6D">
            <w:pPr>
              <w:spacing w:after="0" w:line="240" w:lineRule="auto"/>
              <w:ind w:left="240"/>
            </w:pPr>
            <w:r>
              <w:rPr>
                <w:rFonts w:ascii="Cambria" w:hAnsi="Cambria"/>
                <w:b/>
                <w:color w:val="000000"/>
              </w:rPr>
              <w:t> </w:t>
            </w:r>
          </w:p>
        </w:tc>
      </w:tr>
      <w:tr w:rsidR="008E5AD7" w14:paraId="401F7622"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78359748" w14:textId="59F4A16B" w:rsidR="008E5AD7" w:rsidRDefault="008E5AD7" w:rsidP="008E5AD7">
            <w:pPr>
              <w:spacing w:after="0" w:line="240" w:lineRule="auto"/>
              <w:ind w:left="240"/>
            </w:pPr>
            <w:r>
              <w:rPr>
                <w:rFonts w:ascii="Cambria" w:hAnsi="Cambria"/>
                <w:color w:val="000000"/>
              </w:rPr>
              <w:t>McGill</w:t>
            </w:r>
          </w:p>
        </w:tc>
        <w:tc>
          <w:tcPr>
            <w:tcW w:w="1757" w:type="dxa"/>
            <w:tcBorders>
              <w:top w:val="single" w:sz="8" w:space="0" w:color="C1C7CD"/>
              <w:right w:val="single" w:sz="8" w:space="0" w:color="C1C7CD"/>
            </w:tcBorders>
          </w:tcPr>
          <w:p w14:paraId="104B0B07" w14:textId="4187A07A" w:rsidR="008E5AD7" w:rsidRDefault="007B2590" w:rsidP="008E5AD7">
            <w:pPr>
              <w:spacing w:after="0" w:line="240" w:lineRule="auto"/>
              <w:ind w:left="240"/>
              <w:rPr>
                <w:rFonts w:ascii="Cambria" w:hAnsi="Cambria"/>
                <w:color w:val="000000"/>
              </w:rPr>
            </w:pPr>
            <w:r>
              <w:rPr>
                <w:rFonts w:ascii="Cambria" w:hAnsi="Cambria"/>
                <w:color w:val="000000"/>
              </w:rPr>
              <w:t>100</w:t>
            </w:r>
          </w:p>
        </w:tc>
        <w:tc>
          <w:tcPr>
            <w:tcW w:w="2351" w:type="dxa"/>
            <w:tcBorders>
              <w:top w:val="single" w:sz="8" w:space="0" w:color="C1C7CD"/>
              <w:left w:val="single" w:sz="8" w:space="0" w:color="C1C7CD"/>
            </w:tcBorders>
            <w:tcMar>
              <w:top w:w="75" w:type="dxa"/>
              <w:left w:w="120" w:type="dxa"/>
              <w:bottom w:w="75" w:type="dxa"/>
              <w:right w:w="120" w:type="dxa"/>
            </w:tcMar>
          </w:tcPr>
          <w:p w14:paraId="3AF9A283" w14:textId="3401B97A" w:rsidR="008E5AD7" w:rsidRDefault="008E5AD7" w:rsidP="008E5AD7">
            <w:pPr>
              <w:spacing w:after="0" w:line="240" w:lineRule="auto"/>
              <w:ind w:left="240"/>
            </w:pPr>
            <w:r>
              <w:t>7.67</w:t>
            </w:r>
          </w:p>
        </w:tc>
        <w:tc>
          <w:tcPr>
            <w:tcW w:w="2511" w:type="dxa"/>
            <w:tcBorders>
              <w:top w:val="single" w:sz="8" w:space="0" w:color="C1C7CD"/>
              <w:left w:val="single" w:sz="8" w:space="0" w:color="C1C7CD"/>
            </w:tcBorders>
            <w:tcMar>
              <w:top w:w="75" w:type="dxa"/>
              <w:left w:w="120" w:type="dxa"/>
              <w:bottom w:w="75" w:type="dxa"/>
              <w:right w:w="120" w:type="dxa"/>
            </w:tcMar>
          </w:tcPr>
          <w:p w14:paraId="15DC5116" w14:textId="316FCA0B" w:rsidR="008E5AD7" w:rsidRDefault="008E5AD7" w:rsidP="008E5AD7">
            <w:pPr>
              <w:spacing w:after="0" w:line="240" w:lineRule="auto"/>
              <w:ind w:left="240"/>
            </w:pPr>
            <w:r>
              <w:t>3</w:t>
            </w:r>
          </w:p>
        </w:tc>
      </w:tr>
      <w:tr w:rsidR="008E5AD7" w14:paraId="00ACAB45"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1203D896" w14:textId="199D353B" w:rsidR="008E5AD7" w:rsidRDefault="008E5AD7" w:rsidP="008E5AD7">
            <w:pPr>
              <w:spacing w:after="0" w:line="240" w:lineRule="auto"/>
              <w:ind w:left="240"/>
            </w:pPr>
            <w:r>
              <w:rPr>
                <w:rFonts w:ascii="Cambria" w:hAnsi="Cambria"/>
                <w:color w:val="000000"/>
              </w:rPr>
              <w:t>Dalhousie</w:t>
            </w:r>
          </w:p>
        </w:tc>
        <w:tc>
          <w:tcPr>
            <w:tcW w:w="1757" w:type="dxa"/>
            <w:tcBorders>
              <w:top w:val="single" w:sz="8" w:space="0" w:color="C1C7CD"/>
              <w:right w:val="single" w:sz="8" w:space="0" w:color="C1C7CD"/>
            </w:tcBorders>
          </w:tcPr>
          <w:p w14:paraId="6B7DBCBE" w14:textId="62ABF056" w:rsidR="008E5AD7" w:rsidRDefault="007B2590" w:rsidP="008E5AD7">
            <w:pPr>
              <w:spacing w:after="0" w:line="240" w:lineRule="auto"/>
              <w:ind w:left="240"/>
              <w:rPr>
                <w:rFonts w:ascii="Cambria" w:hAnsi="Cambria"/>
                <w:color w:val="000000"/>
              </w:rPr>
            </w:pPr>
            <w:r>
              <w:rPr>
                <w:rFonts w:ascii="Cambria" w:hAnsi="Cambria"/>
                <w:color w:val="000000"/>
              </w:rPr>
              <w:t>100</w:t>
            </w:r>
          </w:p>
        </w:tc>
        <w:tc>
          <w:tcPr>
            <w:tcW w:w="2351" w:type="dxa"/>
            <w:tcBorders>
              <w:top w:val="single" w:sz="8" w:space="0" w:color="C1C7CD"/>
              <w:left w:val="single" w:sz="8" w:space="0" w:color="C1C7CD"/>
            </w:tcBorders>
            <w:tcMar>
              <w:top w:w="75" w:type="dxa"/>
              <w:left w:w="120" w:type="dxa"/>
              <w:bottom w:w="75" w:type="dxa"/>
              <w:right w:w="120" w:type="dxa"/>
            </w:tcMar>
          </w:tcPr>
          <w:p w14:paraId="3898AAFD" w14:textId="08C55070" w:rsidR="008E5AD7" w:rsidRDefault="008E5AD7" w:rsidP="008E5AD7">
            <w:pPr>
              <w:spacing w:after="0" w:line="240" w:lineRule="auto"/>
              <w:ind w:left="240"/>
            </w:pPr>
            <w:r>
              <w:t>6.50</w:t>
            </w:r>
          </w:p>
        </w:tc>
        <w:tc>
          <w:tcPr>
            <w:tcW w:w="2511" w:type="dxa"/>
            <w:tcBorders>
              <w:top w:val="single" w:sz="8" w:space="0" w:color="C1C7CD"/>
              <w:left w:val="single" w:sz="8" w:space="0" w:color="C1C7CD"/>
            </w:tcBorders>
            <w:tcMar>
              <w:top w:w="75" w:type="dxa"/>
              <w:left w:w="120" w:type="dxa"/>
              <w:bottom w:w="75" w:type="dxa"/>
              <w:right w:w="120" w:type="dxa"/>
            </w:tcMar>
          </w:tcPr>
          <w:p w14:paraId="53E4841A" w14:textId="3D49668D" w:rsidR="008E5AD7" w:rsidRDefault="008E5AD7" w:rsidP="008E5AD7">
            <w:pPr>
              <w:spacing w:after="0" w:line="240" w:lineRule="auto"/>
              <w:ind w:left="240"/>
            </w:pPr>
            <w:r>
              <w:t>12</w:t>
            </w:r>
          </w:p>
        </w:tc>
      </w:tr>
      <w:tr w:rsidR="008E5AD7" w14:paraId="4B95B3F9"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7B333707" w14:textId="5E2DC2DF" w:rsidR="008E5AD7" w:rsidRDefault="008E5AD7" w:rsidP="008E5AD7">
            <w:pPr>
              <w:spacing w:after="0" w:line="240" w:lineRule="auto"/>
              <w:ind w:left="240"/>
            </w:pPr>
            <w:r>
              <w:t>Concordia</w:t>
            </w:r>
          </w:p>
        </w:tc>
        <w:tc>
          <w:tcPr>
            <w:tcW w:w="1757" w:type="dxa"/>
            <w:tcBorders>
              <w:top w:val="single" w:sz="8" w:space="0" w:color="C1C7CD"/>
              <w:right w:val="single" w:sz="8" w:space="0" w:color="C1C7CD"/>
            </w:tcBorders>
          </w:tcPr>
          <w:p w14:paraId="2A4F802E" w14:textId="66B34BCE" w:rsidR="008E5AD7" w:rsidRDefault="007B2590" w:rsidP="008E5AD7">
            <w:pPr>
              <w:spacing w:after="0" w:line="240" w:lineRule="auto"/>
              <w:ind w:left="240"/>
            </w:pPr>
            <w:r>
              <w:t>100</w:t>
            </w:r>
          </w:p>
        </w:tc>
        <w:tc>
          <w:tcPr>
            <w:tcW w:w="2351" w:type="dxa"/>
            <w:tcBorders>
              <w:top w:val="single" w:sz="8" w:space="0" w:color="C1C7CD"/>
              <w:left w:val="single" w:sz="8" w:space="0" w:color="C1C7CD"/>
            </w:tcBorders>
            <w:tcMar>
              <w:top w:w="75" w:type="dxa"/>
              <w:left w:w="120" w:type="dxa"/>
              <w:bottom w:w="75" w:type="dxa"/>
              <w:right w:w="120" w:type="dxa"/>
            </w:tcMar>
          </w:tcPr>
          <w:p w14:paraId="76D2F3E3" w14:textId="35E03017" w:rsidR="008E5AD7" w:rsidRDefault="008E5AD7" w:rsidP="008E5AD7">
            <w:pPr>
              <w:spacing w:after="0" w:line="240" w:lineRule="auto"/>
              <w:ind w:left="240"/>
            </w:pPr>
            <w:r>
              <w:t>7.88</w:t>
            </w:r>
          </w:p>
        </w:tc>
        <w:tc>
          <w:tcPr>
            <w:tcW w:w="2511" w:type="dxa"/>
            <w:tcBorders>
              <w:top w:val="single" w:sz="8" w:space="0" w:color="C1C7CD"/>
              <w:left w:val="single" w:sz="8" w:space="0" w:color="C1C7CD"/>
            </w:tcBorders>
            <w:tcMar>
              <w:top w:w="75" w:type="dxa"/>
              <w:left w:w="120" w:type="dxa"/>
              <w:bottom w:w="75" w:type="dxa"/>
              <w:right w:w="120" w:type="dxa"/>
            </w:tcMar>
          </w:tcPr>
          <w:p w14:paraId="15E349DF" w14:textId="094EBCF3" w:rsidR="008E5AD7" w:rsidRDefault="008E5AD7" w:rsidP="008E5AD7">
            <w:pPr>
              <w:spacing w:after="0" w:line="240" w:lineRule="auto"/>
              <w:ind w:left="240"/>
            </w:pPr>
            <w:r>
              <w:t>4</w:t>
            </w:r>
          </w:p>
        </w:tc>
      </w:tr>
      <w:tr w:rsidR="008E5AD7" w14:paraId="229F27EE"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492627A1" w14:textId="552C7579" w:rsidR="008E5AD7" w:rsidRDefault="008E5AD7" w:rsidP="008E5AD7">
            <w:pPr>
              <w:spacing w:after="0" w:line="240" w:lineRule="auto"/>
              <w:ind w:left="240"/>
            </w:pPr>
            <w:r>
              <w:rPr>
                <w:rFonts w:ascii="Cambria" w:hAnsi="Cambria"/>
                <w:color w:val="000000"/>
              </w:rPr>
              <w:t>UBC</w:t>
            </w:r>
          </w:p>
        </w:tc>
        <w:tc>
          <w:tcPr>
            <w:tcW w:w="1757" w:type="dxa"/>
            <w:tcBorders>
              <w:top w:val="single" w:sz="8" w:space="0" w:color="C1C7CD"/>
              <w:right w:val="single" w:sz="8" w:space="0" w:color="C1C7CD"/>
            </w:tcBorders>
          </w:tcPr>
          <w:p w14:paraId="3333F150" w14:textId="61A9014B" w:rsidR="008E5AD7" w:rsidRDefault="007B2590" w:rsidP="008E5AD7">
            <w:pPr>
              <w:spacing w:after="0" w:line="240" w:lineRule="auto"/>
              <w:ind w:left="240"/>
              <w:rPr>
                <w:rFonts w:ascii="Cambria" w:hAnsi="Cambria"/>
                <w:color w:val="000000"/>
              </w:rPr>
            </w:pPr>
            <w:r>
              <w:rPr>
                <w:rFonts w:ascii="Cambria" w:hAnsi="Cambria"/>
                <w:color w:val="000000"/>
              </w:rPr>
              <w:t>100</w:t>
            </w:r>
          </w:p>
        </w:tc>
        <w:tc>
          <w:tcPr>
            <w:tcW w:w="2351" w:type="dxa"/>
            <w:tcBorders>
              <w:top w:val="single" w:sz="8" w:space="0" w:color="C1C7CD"/>
              <w:left w:val="single" w:sz="8" w:space="0" w:color="C1C7CD"/>
            </w:tcBorders>
            <w:tcMar>
              <w:top w:w="75" w:type="dxa"/>
              <w:left w:w="120" w:type="dxa"/>
              <w:bottom w:w="75" w:type="dxa"/>
              <w:right w:w="120" w:type="dxa"/>
            </w:tcMar>
          </w:tcPr>
          <w:p w14:paraId="57CB32F7" w14:textId="1BF053E6" w:rsidR="008E5AD7" w:rsidRDefault="008E5AD7" w:rsidP="008E5AD7">
            <w:pPr>
              <w:spacing w:after="0" w:line="240" w:lineRule="auto"/>
              <w:ind w:left="240"/>
            </w:pPr>
            <w:r>
              <w:t>5.17</w:t>
            </w:r>
          </w:p>
        </w:tc>
        <w:tc>
          <w:tcPr>
            <w:tcW w:w="2511" w:type="dxa"/>
            <w:tcBorders>
              <w:top w:val="single" w:sz="8" w:space="0" w:color="C1C7CD"/>
              <w:left w:val="single" w:sz="8" w:space="0" w:color="C1C7CD"/>
            </w:tcBorders>
            <w:tcMar>
              <w:top w:w="75" w:type="dxa"/>
              <w:left w:w="120" w:type="dxa"/>
              <w:bottom w:w="75" w:type="dxa"/>
              <w:right w:w="120" w:type="dxa"/>
            </w:tcMar>
          </w:tcPr>
          <w:p w14:paraId="296F01A7" w14:textId="2CB37BAA" w:rsidR="008E5AD7" w:rsidRDefault="008E5AD7" w:rsidP="008E5AD7">
            <w:pPr>
              <w:spacing w:after="0" w:line="240" w:lineRule="auto"/>
              <w:ind w:left="240"/>
            </w:pPr>
            <w:r>
              <w:rPr>
                <w:rFonts w:ascii="Cambria" w:hAnsi="Cambria"/>
                <w:color w:val="000000"/>
              </w:rPr>
              <w:t>3</w:t>
            </w:r>
          </w:p>
        </w:tc>
      </w:tr>
      <w:tr w:rsidR="008E5AD7" w14:paraId="22628990"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4ECB9B25" w14:textId="0D983D08" w:rsidR="008E5AD7" w:rsidRDefault="008E5AD7" w:rsidP="008E5AD7">
            <w:pPr>
              <w:spacing w:after="0" w:line="240" w:lineRule="auto"/>
              <w:ind w:left="240"/>
            </w:pPr>
            <w:r>
              <w:rPr>
                <w:rFonts w:ascii="Cambria" w:hAnsi="Cambria"/>
                <w:color w:val="000000"/>
              </w:rPr>
              <w:t>Kings University College </w:t>
            </w:r>
          </w:p>
        </w:tc>
        <w:tc>
          <w:tcPr>
            <w:tcW w:w="1757" w:type="dxa"/>
            <w:tcBorders>
              <w:top w:val="single" w:sz="8" w:space="0" w:color="C1C7CD"/>
              <w:right w:val="single" w:sz="8" w:space="0" w:color="C1C7CD"/>
            </w:tcBorders>
          </w:tcPr>
          <w:p w14:paraId="0F5D8781" w14:textId="2E7E6DC8" w:rsidR="008E5AD7" w:rsidRDefault="007B2590" w:rsidP="008E5AD7">
            <w:pPr>
              <w:spacing w:after="0" w:line="240" w:lineRule="auto"/>
              <w:ind w:left="240"/>
              <w:rPr>
                <w:rFonts w:ascii="Cambria" w:hAnsi="Cambria"/>
                <w:color w:val="000000"/>
              </w:rPr>
            </w:pPr>
            <w:r>
              <w:rPr>
                <w:rFonts w:ascii="Cambria" w:hAnsi="Cambria"/>
                <w:color w:val="000000"/>
              </w:rPr>
              <w:t>100</w:t>
            </w:r>
          </w:p>
        </w:tc>
        <w:tc>
          <w:tcPr>
            <w:tcW w:w="2351" w:type="dxa"/>
            <w:tcBorders>
              <w:top w:val="single" w:sz="8" w:space="0" w:color="C1C7CD"/>
              <w:left w:val="single" w:sz="8" w:space="0" w:color="C1C7CD"/>
            </w:tcBorders>
            <w:tcMar>
              <w:top w:w="75" w:type="dxa"/>
              <w:left w:w="120" w:type="dxa"/>
              <w:bottom w:w="75" w:type="dxa"/>
              <w:right w:w="120" w:type="dxa"/>
            </w:tcMar>
          </w:tcPr>
          <w:p w14:paraId="740BB16E" w14:textId="3FB2B267" w:rsidR="008E5AD7" w:rsidRDefault="008E5AD7" w:rsidP="008E5AD7">
            <w:pPr>
              <w:spacing w:after="0" w:line="240" w:lineRule="auto"/>
              <w:ind w:left="240"/>
            </w:pPr>
            <w:r>
              <w:t>6.38</w:t>
            </w:r>
          </w:p>
        </w:tc>
        <w:tc>
          <w:tcPr>
            <w:tcW w:w="2511" w:type="dxa"/>
            <w:tcBorders>
              <w:top w:val="single" w:sz="8" w:space="0" w:color="C1C7CD"/>
              <w:left w:val="single" w:sz="8" w:space="0" w:color="C1C7CD"/>
            </w:tcBorders>
            <w:tcMar>
              <w:top w:w="75" w:type="dxa"/>
              <w:left w:w="120" w:type="dxa"/>
              <w:bottom w:w="75" w:type="dxa"/>
              <w:right w:w="120" w:type="dxa"/>
            </w:tcMar>
          </w:tcPr>
          <w:p w14:paraId="7FA2C4BD" w14:textId="794FD2ED" w:rsidR="008E5AD7" w:rsidRDefault="008E5AD7" w:rsidP="008E5AD7">
            <w:pPr>
              <w:spacing w:after="0" w:line="240" w:lineRule="auto"/>
              <w:ind w:left="240"/>
            </w:pPr>
            <w:r>
              <w:t>8</w:t>
            </w:r>
          </w:p>
        </w:tc>
      </w:tr>
      <w:tr w:rsidR="008E5AD7" w14:paraId="4B11ED9C"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39441960" w14:textId="163B78FD" w:rsidR="008E5AD7" w:rsidRDefault="008E5AD7" w:rsidP="008E5AD7">
            <w:pPr>
              <w:spacing w:after="0" w:line="240" w:lineRule="auto"/>
              <w:ind w:left="240"/>
            </w:pPr>
            <w:r>
              <w:t>Simon Fraser</w:t>
            </w:r>
          </w:p>
        </w:tc>
        <w:tc>
          <w:tcPr>
            <w:tcW w:w="1757" w:type="dxa"/>
            <w:tcBorders>
              <w:top w:val="single" w:sz="8" w:space="0" w:color="C1C7CD"/>
              <w:right w:val="single" w:sz="8" w:space="0" w:color="C1C7CD"/>
            </w:tcBorders>
          </w:tcPr>
          <w:p w14:paraId="6C16A546" w14:textId="5A27587E" w:rsidR="008E5AD7" w:rsidRDefault="007B2590" w:rsidP="008E5AD7">
            <w:pPr>
              <w:spacing w:after="0" w:line="240" w:lineRule="auto"/>
              <w:ind w:left="240"/>
            </w:pPr>
            <w:r>
              <w:t>75.0</w:t>
            </w:r>
          </w:p>
        </w:tc>
        <w:tc>
          <w:tcPr>
            <w:tcW w:w="2351" w:type="dxa"/>
            <w:tcBorders>
              <w:top w:val="single" w:sz="8" w:space="0" w:color="C1C7CD"/>
              <w:left w:val="single" w:sz="8" w:space="0" w:color="C1C7CD"/>
            </w:tcBorders>
            <w:tcMar>
              <w:top w:w="75" w:type="dxa"/>
              <w:left w:w="120" w:type="dxa"/>
              <w:bottom w:w="75" w:type="dxa"/>
              <w:right w:w="120" w:type="dxa"/>
            </w:tcMar>
          </w:tcPr>
          <w:p w14:paraId="048E5D55" w14:textId="6384311F" w:rsidR="008E5AD7" w:rsidRDefault="008E5AD7" w:rsidP="008E5AD7">
            <w:pPr>
              <w:spacing w:after="0" w:line="240" w:lineRule="auto"/>
              <w:ind w:left="240"/>
            </w:pPr>
            <w:r>
              <w:t>2.75</w:t>
            </w:r>
          </w:p>
        </w:tc>
        <w:tc>
          <w:tcPr>
            <w:tcW w:w="2511" w:type="dxa"/>
            <w:tcBorders>
              <w:top w:val="single" w:sz="8" w:space="0" w:color="C1C7CD"/>
              <w:left w:val="single" w:sz="8" w:space="0" w:color="C1C7CD"/>
            </w:tcBorders>
            <w:tcMar>
              <w:top w:w="75" w:type="dxa"/>
              <w:left w:w="120" w:type="dxa"/>
              <w:bottom w:w="75" w:type="dxa"/>
              <w:right w:w="120" w:type="dxa"/>
            </w:tcMar>
          </w:tcPr>
          <w:p w14:paraId="649F371B" w14:textId="7DB9BAAA" w:rsidR="008E5AD7" w:rsidRDefault="008E5AD7" w:rsidP="008E5AD7">
            <w:pPr>
              <w:spacing w:after="0" w:line="240" w:lineRule="auto"/>
              <w:ind w:left="240"/>
            </w:pPr>
            <w:r>
              <w:t>4</w:t>
            </w:r>
          </w:p>
        </w:tc>
      </w:tr>
      <w:tr w:rsidR="008E5AD7" w14:paraId="5C421E6C"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091C4F0F" w14:textId="029D41C1" w:rsidR="008E5AD7" w:rsidRDefault="008E5AD7" w:rsidP="008E5AD7">
            <w:pPr>
              <w:spacing w:after="0" w:line="240" w:lineRule="auto"/>
              <w:ind w:left="240"/>
              <w:rPr>
                <w:rFonts w:ascii="Cambria" w:hAnsi="Cambria"/>
                <w:color w:val="000000"/>
              </w:rPr>
            </w:pPr>
            <w:r>
              <w:t>Victoria</w:t>
            </w:r>
          </w:p>
        </w:tc>
        <w:tc>
          <w:tcPr>
            <w:tcW w:w="1757" w:type="dxa"/>
            <w:tcBorders>
              <w:top w:val="single" w:sz="8" w:space="0" w:color="C1C7CD"/>
              <w:right w:val="single" w:sz="8" w:space="0" w:color="C1C7CD"/>
            </w:tcBorders>
          </w:tcPr>
          <w:p w14:paraId="2891FD67" w14:textId="0C23E3B2" w:rsidR="008E5AD7" w:rsidRDefault="007B2590" w:rsidP="008E5AD7">
            <w:pPr>
              <w:spacing w:after="0" w:line="240" w:lineRule="auto"/>
              <w:ind w:left="240"/>
            </w:pPr>
            <w:r>
              <w:t>100</w:t>
            </w:r>
          </w:p>
        </w:tc>
        <w:tc>
          <w:tcPr>
            <w:tcW w:w="2351" w:type="dxa"/>
            <w:tcBorders>
              <w:top w:val="single" w:sz="8" w:space="0" w:color="C1C7CD"/>
              <w:left w:val="single" w:sz="8" w:space="0" w:color="C1C7CD"/>
            </w:tcBorders>
            <w:tcMar>
              <w:top w:w="75" w:type="dxa"/>
              <w:left w:w="120" w:type="dxa"/>
              <w:bottom w:w="75" w:type="dxa"/>
              <w:right w:w="120" w:type="dxa"/>
            </w:tcMar>
          </w:tcPr>
          <w:p w14:paraId="1E11A22E" w14:textId="045A55F9" w:rsidR="008E5AD7" w:rsidRDefault="008E5AD7" w:rsidP="008E5AD7">
            <w:pPr>
              <w:spacing w:after="0" w:line="240" w:lineRule="auto"/>
              <w:ind w:left="240"/>
            </w:pPr>
            <w:r>
              <w:t>5.25</w:t>
            </w:r>
          </w:p>
        </w:tc>
        <w:tc>
          <w:tcPr>
            <w:tcW w:w="2511" w:type="dxa"/>
            <w:tcBorders>
              <w:top w:val="single" w:sz="8" w:space="0" w:color="C1C7CD"/>
              <w:left w:val="single" w:sz="8" w:space="0" w:color="C1C7CD"/>
            </w:tcBorders>
            <w:tcMar>
              <w:top w:w="75" w:type="dxa"/>
              <w:left w:w="120" w:type="dxa"/>
              <w:bottom w:w="75" w:type="dxa"/>
              <w:right w:w="120" w:type="dxa"/>
            </w:tcMar>
          </w:tcPr>
          <w:p w14:paraId="25878D3D" w14:textId="3A6B2D99" w:rsidR="008E5AD7" w:rsidRDefault="008E5AD7" w:rsidP="008E5AD7">
            <w:pPr>
              <w:spacing w:after="0" w:line="240" w:lineRule="auto"/>
              <w:ind w:left="240"/>
            </w:pPr>
            <w:r>
              <w:t>2</w:t>
            </w:r>
          </w:p>
        </w:tc>
      </w:tr>
      <w:tr w:rsidR="008E5AD7" w14:paraId="34E5D8F2"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78732489" w14:textId="65F0334C" w:rsidR="008E5AD7" w:rsidRDefault="008E5AD7" w:rsidP="008E5AD7">
            <w:pPr>
              <w:spacing w:after="0" w:line="240" w:lineRule="auto"/>
              <w:ind w:left="240"/>
              <w:rPr>
                <w:rFonts w:ascii="Cambria" w:hAnsi="Cambria"/>
                <w:color w:val="000000"/>
              </w:rPr>
            </w:pPr>
            <w:r>
              <w:t>New Brunswick</w:t>
            </w:r>
          </w:p>
        </w:tc>
        <w:tc>
          <w:tcPr>
            <w:tcW w:w="1757" w:type="dxa"/>
            <w:tcBorders>
              <w:top w:val="single" w:sz="8" w:space="0" w:color="C1C7CD"/>
              <w:right w:val="single" w:sz="8" w:space="0" w:color="C1C7CD"/>
            </w:tcBorders>
          </w:tcPr>
          <w:p w14:paraId="21F1A278" w14:textId="5622F4D5" w:rsidR="008E5AD7" w:rsidRDefault="007B2590" w:rsidP="008E5AD7">
            <w:pPr>
              <w:spacing w:after="0" w:line="240" w:lineRule="auto"/>
              <w:ind w:left="240"/>
            </w:pPr>
            <w:r>
              <w:t>100</w:t>
            </w:r>
          </w:p>
        </w:tc>
        <w:tc>
          <w:tcPr>
            <w:tcW w:w="2351" w:type="dxa"/>
            <w:tcBorders>
              <w:top w:val="single" w:sz="8" w:space="0" w:color="C1C7CD"/>
              <w:left w:val="single" w:sz="8" w:space="0" w:color="C1C7CD"/>
            </w:tcBorders>
            <w:tcMar>
              <w:top w:w="75" w:type="dxa"/>
              <w:left w:w="120" w:type="dxa"/>
              <w:bottom w:w="75" w:type="dxa"/>
              <w:right w:w="120" w:type="dxa"/>
            </w:tcMar>
          </w:tcPr>
          <w:p w14:paraId="744D9094" w14:textId="6F96D415" w:rsidR="008E5AD7" w:rsidRDefault="008E5AD7" w:rsidP="008E5AD7">
            <w:pPr>
              <w:spacing w:after="0" w:line="240" w:lineRule="auto"/>
              <w:ind w:left="240"/>
            </w:pPr>
            <w:r>
              <w:t>3.75</w:t>
            </w:r>
          </w:p>
        </w:tc>
        <w:tc>
          <w:tcPr>
            <w:tcW w:w="2511" w:type="dxa"/>
            <w:tcBorders>
              <w:top w:val="single" w:sz="8" w:space="0" w:color="C1C7CD"/>
              <w:left w:val="single" w:sz="8" w:space="0" w:color="C1C7CD"/>
            </w:tcBorders>
            <w:tcMar>
              <w:top w:w="75" w:type="dxa"/>
              <w:left w:w="120" w:type="dxa"/>
              <w:bottom w:w="75" w:type="dxa"/>
              <w:right w:w="120" w:type="dxa"/>
            </w:tcMar>
          </w:tcPr>
          <w:p w14:paraId="5EB084DC" w14:textId="7BED91CA" w:rsidR="008E5AD7" w:rsidRDefault="008E5AD7" w:rsidP="008E5AD7">
            <w:pPr>
              <w:spacing w:after="0" w:line="240" w:lineRule="auto"/>
              <w:ind w:left="240"/>
            </w:pPr>
            <w:r>
              <w:t>2</w:t>
            </w:r>
          </w:p>
        </w:tc>
      </w:tr>
      <w:tr w:rsidR="008E5AD7" w14:paraId="4B9E5716"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4536763B" w14:textId="4AECCE91" w:rsidR="008E5AD7" w:rsidRDefault="008E5AD7" w:rsidP="008E5AD7">
            <w:pPr>
              <w:spacing w:after="0" w:line="240" w:lineRule="auto"/>
              <w:ind w:left="240"/>
              <w:rPr>
                <w:rFonts w:ascii="Cambria" w:hAnsi="Cambria"/>
                <w:color w:val="000000"/>
              </w:rPr>
            </w:pPr>
            <w:r>
              <w:t>Kwantlen Polytechnical University, Mt. Allison, Okanagan U College, Bishops, Luther College, St. Francis Xavier</w:t>
            </w:r>
          </w:p>
        </w:tc>
        <w:tc>
          <w:tcPr>
            <w:tcW w:w="1757" w:type="dxa"/>
            <w:tcBorders>
              <w:top w:val="single" w:sz="8" w:space="0" w:color="C1C7CD"/>
              <w:right w:val="single" w:sz="8" w:space="0" w:color="C1C7CD"/>
            </w:tcBorders>
          </w:tcPr>
          <w:p w14:paraId="0438158C" w14:textId="46C0283C" w:rsidR="008E5AD7" w:rsidRDefault="007B2590" w:rsidP="008E5AD7">
            <w:pPr>
              <w:spacing w:after="0" w:line="240" w:lineRule="auto"/>
              <w:ind w:left="240"/>
            </w:pPr>
            <w:r>
              <w:t>100</w:t>
            </w:r>
          </w:p>
        </w:tc>
        <w:tc>
          <w:tcPr>
            <w:tcW w:w="2351" w:type="dxa"/>
            <w:tcBorders>
              <w:top w:val="single" w:sz="8" w:space="0" w:color="C1C7CD"/>
              <w:left w:val="single" w:sz="8" w:space="0" w:color="C1C7CD"/>
            </w:tcBorders>
            <w:tcMar>
              <w:top w:w="75" w:type="dxa"/>
              <w:left w:w="120" w:type="dxa"/>
              <w:bottom w:w="75" w:type="dxa"/>
              <w:right w:w="120" w:type="dxa"/>
            </w:tcMar>
          </w:tcPr>
          <w:p w14:paraId="55629078" w14:textId="4EFB53C4" w:rsidR="008E5AD7" w:rsidRDefault="008E5AD7" w:rsidP="008E5AD7">
            <w:pPr>
              <w:spacing w:after="0" w:line="240" w:lineRule="auto"/>
              <w:ind w:left="240"/>
            </w:pPr>
          </w:p>
        </w:tc>
        <w:tc>
          <w:tcPr>
            <w:tcW w:w="2511" w:type="dxa"/>
            <w:tcBorders>
              <w:top w:val="single" w:sz="8" w:space="0" w:color="C1C7CD"/>
              <w:left w:val="single" w:sz="8" w:space="0" w:color="C1C7CD"/>
            </w:tcBorders>
            <w:tcMar>
              <w:top w:w="75" w:type="dxa"/>
              <w:left w:w="120" w:type="dxa"/>
              <w:bottom w:w="75" w:type="dxa"/>
              <w:right w:w="120" w:type="dxa"/>
            </w:tcMar>
          </w:tcPr>
          <w:p w14:paraId="414D4008" w14:textId="662F217D" w:rsidR="008E5AD7" w:rsidRDefault="008E5AD7" w:rsidP="008E5AD7">
            <w:pPr>
              <w:spacing w:after="0" w:line="240" w:lineRule="auto"/>
              <w:ind w:left="240"/>
            </w:pPr>
            <w:r>
              <w:t>1 each (total = 6)</w:t>
            </w:r>
          </w:p>
        </w:tc>
      </w:tr>
      <w:tr w:rsidR="008E5AD7" w14:paraId="0DC10B10"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09D55B9B" w14:textId="1FDE51E4" w:rsidR="008E5AD7" w:rsidRDefault="008E5AD7" w:rsidP="008E5AD7">
            <w:pPr>
              <w:spacing w:after="0" w:line="240" w:lineRule="auto"/>
              <w:ind w:left="240"/>
            </w:pPr>
            <w:r>
              <w:rPr>
                <w:rFonts w:ascii="Cambria" w:hAnsi="Cambria"/>
                <w:color w:val="000000"/>
              </w:rPr>
              <w:t> </w:t>
            </w:r>
            <w:r w:rsidR="00E542E9">
              <w:rPr>
                <w:rFonts w:ascii="Cambria" w:hAnsi="Cambria"/>
                <w:color w:val="000000"/>
              </w:rPr>
              <w:t>Ontario Community Colleges</w:t>
            </w:r>
          </w:p>
        </w:tc>
        <w:tc>
          <w:tcPr>
            <w:tcW w:w="1757" w:type="dxa"/>
            <w:tcBorders>
              <w:top w:val="single" w:sz="8" w:space="0" w:color="C1C7CD"/>
              <w:right w:val="single" w:sz="8" w:space="0" w:color="C1C7CD"/>
            </w:tcBorders>
          </w:tcPr>
          <w:p w14:paraId="197C3081" w14:textId="77777777" w:rsidR="008E5AD7" w:rsidRDefault="008E5AD7" w:rsidP="008E5AD7">
            <w:pPr>
              <w:spacing w:after="0" w:line="240" w:lineRule="auto"/>
              <w:ind w:left="240"/>
              <w:rPr>
                <w:rFonts w:ascii="Cambria" w:hAnsi="Cambria"/>
                <w:color w:val="000000"/>
              </w:rPr>
            </w:pPr>
          </w:p>
        </w:tc>
        <w:tc>
          <w:tcPr>
            <w:tcW w:w="2351" w:type="dxa"/>
            <w:tcBorders>
              <w:top w:val="single" w:sz="8" w:space="0" w:color="C1C7CD"/>
              <w:left w:val="single" w:sz="8" w:space="0" w:color="C1C7CD"/>
            </w:tcBorders>
            <w:tcMar>
              <w:top w:w="75" w:type="dxa"/>
              <w:left w:w="120" w:type="dxa"/>
              <w:bottom w:w="75" w:type="dxa"/>
              <w:right w:w="120" w:type="dxa"/>
            </w:tcMar>
          </w:tcPr>
          <w:p w14:paraId="59280C4B" w14:textId="2E62A5B7" w:rsidR="008E5AD7" w:rsidRDefault="008E5AD7" w:rsidP="008E5AD7">
            <w:pPr>
              <w:spacing w:after="0" w:line="240" w:lineRule="auto"/>
              <w:ind w:left="240"/>
            </w:pPr>
            <w:r>
              <w:rPr>
                <w:rFonts w:ascii="Cambria" w:hAnsi="Cambria"/>
                <w:color w:val="000000"/>
              </w:rPr>
              <w:t> </w:t>
            </w:r>
          </w:p>
        </w:tc>
        <w:tc>
          <w:tcPr>
            <w:tcW w:w="2511" w:type="dxa"/>
            <w:tcBorders>
              <w:top w:val="single" w:sz="8" w:space="0" w:color="C1C7CD"/>
              <w:left w:val="single" w:sz="8" w:space="0" w:color="C1C7CD"/>
            </w:tcBorders>
            <w:tcMar>
              <w:top w:w="75" w:type="dxa"/>
              <w:left w:w="120" w:type="dxa"/>
              <w:bottom w:w="75" w:type="dxa"/>
              <w:right w:w="120" w:type="dxa"/>
            </w:tcMar>
          </w:tcPr>
          <w:p w14:paraId="706C81EB" w14:textId="77777777" w:rsidR="008E5AD7" w:rsidRDefault="008E5AD7" w:rsidP="008E5AD7">
            <w:pPr>
              <w:spacing w:after="0" w:line="240" w:lineRule="auto"/>
              <w:ind w:left="240"/>
            </w:pPr>
            <w:r>
              <w:rPr>
                <w:rFonts w:ascii="Cambria" w:hAnsi="Cambria"/>
                <w:color w:val="000000"/>
              </w:rPr>
              <w:t> </w:t>
            </w:r>
          </w:p>
        </w:tc>
      </w:tr>
      <w:tr w:rsidR="00E542E9" w14:paraId="645267D8"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41D20D80" w14:textId="18A2E096" w:rsidR="00E542E9" w:rsidRDefault="00E542E9" w:rsidP="00E542E9">
            <w:pPr>
              <w:spacing w:after="0" w:line="240" w:lineRule="auto"/>
              <w:ind w:left="240"/>
            </w:pPr>
            <w:r>
              <w:rPr>
                <w:rFonts w:ascii="Cambria" w:hAnsi="Cambria"/>
                <w:color w:val="000000"/>
              </w:rPr>
              <w:lastRenderedPageBreak/>
              <w:t>Centennial</w:t>
            </w:r>
          </w:p>
        </w:tc>
        <w:tc>
          <w:tcPr>
            <w:tcW w:w="1757" w:type="dxa"/>
            <w:tcBorders>
              <w:top w:val="single" w:sz="8" w:space="0" w:color="C1C7CD"/>
              <w:right w:val="single" w:sz="8" w:space="0" w:color="C1C7CD"/>
            </w:tcBorders>
          </w:tcPr>
          <w:p w14:paraId="5112E810" w14:textId="015E93E4" w:rsidR="00E542E9" w:rsidRDefault="007B2590" w:rsidP="00E542E9">
            <w:pPr>
              <w:spacing w:after="0" w:line="240" w:lineRule="auto"/>
              <w:ind w:left="240"/>
              <w:rPr>
                <w:rFonts w:ascii="Cambria" w:hAnsi="Cambria"/>
                <w:color w:val="000000"/>
              </w:rPr>
            </w:pPr>
            <w:r>
              <w:rPr>
                <w:rFonts w:ascii="Cambria" w:hAnsi="Cambria"/>
                <w:color w:val="000000"/>
              </w:rPr>
              <w:t>87.0</w:t>
            </w:r>
          </w:p>
        </w:tc>
        <w:tc>
          <w:tcPr>
            <w:tcW w:w="2351" w:type="dxa"/>
            <w:tcBorders>
              <w:top w:val="single" w:sz="8" w:space="0" w:color="C1C7CD"/>
              <w:left w:val="single" w:sz="8" w:space="0" w:color="C1C7CD"/>
            </w:tcBorders>
            <w:tcMar>
              <w:top w:w="75" w:type="dxa"/>
              <w:left w:w="120" w:type="dxa"/>
              <w:bottom w:w="75" w:type="dxa"/>
              <w:right w:w="120" w:type="dxa"/>
            </w:tcMar>
          </w:tcPr>
          <w:p w14:paraId="325CB32E" w14:textId="7C59F22F" w:rsidR="00E542E9" w:rsidRDefault="00E542E9" w:rsidP="00E542E9">
            <w:pPr>
              <w:spacing w:after="0" w:line="240" w:lineRule="auto"/>
              <w:ind w:left="240"/>
            </w:pPr>
            <w:r>
              <w:t>1.97</w:t>
            </w:r>
          </w:p>
        </w:tc>
        <w:tc>
          <w:tcPr>
            <w:tcW w:w="2511" w:type="dxa"/>
            <w:tcBorders>
              <w:top w:val="single" w:sz="8" w:space="0" w:color="C1C7CD"/>
              <w:left w:val="single" w:sz="8" w:space="0" w:color="C1C7CD"/>
            </w:tcBorders>
            <w:tcMar>
              <w:top w:w="75" w:type="dxa"/>
              <w:left w:w="120" w:type="dxa"/>
              <w:bottom w:w="75" w:type="dxa"/>
              <w:right w:w="120" w:type="dxa"/>
            </w:tcMar>
          </w:tcPr>
          <w:p w14:paraId="2952B0B9" w14:textId="30091181" w:rsidR="00E542E9" w:rsidRDefault="00E542E9" w:rsidP="00E542E9">
            <w:pPr>
              <w:spacing w:after="0" w:line="240" w:lineRule="auto"/>
              <w:ind w:left="240"/>
            </w:pPr>
            <w:r>
              <w:t>15</w:t>
            </w:r>
          </w:p>
        </w:tc>
      </w:tr>
      <w:tr w:rsidR="00E542E9" w14:paraId="5BD9BC8C"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4866C3FA" w14:textId="66CC760F" w:rsidR="00E542E9" w:rsidRDefault="00E542E9" w:rsidP="00E542E9">
            <w:pPr>
              <w:spacing w:after="0" w:line="240" w:lineRule="auto"/>
              <w:ind w:left="240"/>
            </w:pPr>
            <w:r>
              <w:rPr>
                <w:rFonts w:ascii="Cambria" w:hAnsi="Cambria"/>
                <w:color w:val="000000"/>
              </w:rPr>
              <w:t>George Brown</w:t>
            </w:r>
          </w:p>
        </w:tc>
        <w:tc>
          <w:tcPr>
            <w:tcW w:w="1757" w:type="dxa"/>
            <w:tcBorders>
              <w:top w:val="single" w:sz="8" w:space="0" w:color="C1C7CD"/>
              <w:right w:val="single" w:sz="8" w:space="0" w:color="C1C7CD"/>
            </w:tcBorders>
          </w:tcPr>
          <w:p w14:paraId="44530F78" w14:textId="3C562787" w:rsidR="00E542E9" w:rsidRDefault="007B2590" w:rsidP="00E542E9">
            <w:pPr>
              <w:spacing w:after="0" w:line="240" w:lineRule="auto"/>
              <w:ind w:left="240"/>
              <w:rPr>
                <w:rFonts w:ascii="Cambria" w:hAnsi="Cambria"/>
                <w:color w:val="000000"/>
              </w:rPr>
            </w:pPr>
            <w:r>
              <w:rPr>
                <w:rFonts w:ascii="Cambria" w:hAnsi="Cambria"/>
                <w:color w:val="000000"/>
              </w:rPr>
              <w:t>74.0</w:t>
            </w:r>
          </w:p>
        </w:tc>
        <w:tc>
          <w:tcPr>
            <w:tcW w:w="2351" w:type="dxa"/>
            <w:tcBorders>
              <w:top w:val="single" w:sz="8" w:space="0" w:color="C1C7CD"/>
              <w:left w:val="single" w:sz="8" w:space="0" w:color="C1C7CD"/>
            </w:tcBorders>
            <w:tcMar>
              <w:top w:w="75" w:type="dxa"/>
              <w:left w:w="120" w:type="dxa"/>
              <w:bottom w:w="75" w:type="dxa"/>
              <w:right w:w="120" w:type="dxa"/>
            </w:tcMar>
          </w:tcPr>
          <w:p w14:paraId="297926FD" w14:textId="51475C86" w:rsidR="00E542E9" w:rsidRDefault="00E542E9" w:rsidP="00E542E9">
            <w:pPr>
              <w:spacing w:after="0" w:line="240" w:lineRule="auto"/>
              <w:ind w:left="240"/>
            </w:pPr>
            <w:r>
              <w:t>2.61</w:t>
            </w:r>
          </w:p>
        </w:tc>
        <w:tc>
          <w:tcPr>
            <w:tcW w:w="2511" w:type="dxa"/>
            <w:tcBorders>
              <w:top w:val="single" w:sz="8" w:space="0" w:color="C1C7CD"/>
              <w:left w:val="single" w:sz="8" w:space="0" w:color="C1C7CD"/>
            </w:tcBorders>
            <w:tcMar>
              <w:top w:w="75" w:type="dxa"/>
              <w:left w:w="120" w:type="dxa"/>
              <w:bottom w:w="75" w:type="dxa"/>
              <w:right w:w="120" w:type="dxa"/>
            </w:tcMar>
          </w:tcPr>
          <w:p w14:paraId="27D9713B" w14:textId="1E482202" w:rsidR="00E542E9" w:rsidRDefault="00E542E9" w:rsidP="00E542E9">
            <w:pPr>
              <w:spacing w:after="0" w:line="240" w:lineRule="auto"/>
              <w:ind w:left="240"/>
            </w:pPr>
            <w:r>
              <w:t>19</w:t>
            </w:r>
          </w:p>
        </w:tc>
      </w:tr>
      <w:tr w:rsidR="00E542E9" w14:paraId="1BF3765D"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4B233813" w14:textId="614C9F6A" w:rsidR="00E542E9" w:rsidRDefault="00E542E9" w:rsidP="00E542E9">
            <w:pPr>
              <w:spacing w:after="0" w:line="240" w:lineRule="auto"/>
              <w:ind w:left="240"/>
            </w:pPr>
            <w:r>
              <w:rPr>
                <w:rFonts w:ascii="Cambria" w:hAnsi="Cambria"/>
                <w:color w:val="000000"/>
              </w:rPr>
              <w:t>Seneca</w:t>
            </w:r>
          </w:p>
        </w:tc>
        <w:tc>
          <w:tcPr>
            <w:tcW w:w="1757" w:type="dxa"/>
            <w:tcBorders>
              <w:top w:val="single" w:sz="8" w:space="0" w:color="C1C7CD"/>
              <w:right w:val="single" w:sz="8" w:space="0" w:color="C1C7CD"/>
            </w:tcBorders>
          </w:tcPr>
          <w:p w14:paraId="60C4022C" w14:textId="05D5462C" w:rsidR="00E542E9" w:rsidRDefault="007B2590" w:rsidP="00E542E9">
            <w:pPr>
              <w:spacing w:after="0" w:line="240" w:lineRule="auto"/>
              <w:ind w:left="240"/>
              <w:rPr>
                <w:rFonts w:ascii="Cambria" w:hAnsi="Cambria"/>
                <w:color w:val="000000"/>
              </w:rPr>
            </w:pPr>
            <w:r>
              <w:rPr>
                <w:rFonts w:ascii="Cambria" w:hAnsi="Cambria"/>
                <w:color w:val="000000"/>
              </w:rPr>
              <w:t>67.0</w:t>
            </w:r>
          </w:p>
        </w:tc>
        <w:tc>
          <w:tcPr>
            <w:tcW w:w="2351" w:type="dxa"/>
            <w:tcBorders>
              <w:top w:val="single" w:sz="8" w:space="0" w:color="C1C7CD"/>
              <w:left w:val="single" w:sz="8" w:space="0" w:color="C1C7CD"/>
            </w:tcBorders>
            <w:tcMar>
              <w:top w:w="75" w:type="dxa"/>
              <w:left w:w="120" w:type="dxa"/>
              <w:bottom w:w="75" w:type="dxa"/>
              <w:right w:w="120" w:type="dxa"/>
            </w:tcMar>
          </w:tcPr>
          <w:p w14:paraId="212B1C5A" w14:textId="037C5005" w:rsidR="00E542E9" w:rsidRDefault="00E542E9" w:rsidP="00E542E9">
            <w:pPr>
              <w:spacing w:after="0" w:line="240" w:lineRule="auto"/>
              <w:ind w:left="240"/>
            </w:pPr>
            <w:r>
              <w:t>2.22</w:t>
            </w:r>
          </w:p>
        </w:tc>
        <w:tc>
          <w:tcPr>
            <w:tcW w:w="2511" w:type="dxa"/>
            <w:tcBorders>
              <w:top w:val="single" w:sz="8" w:space="0" w:color="C1C7CD"/>
              <w:left w:val="single" w:sz="8" w:space="0" w:color="C1C7CD"/>
            </w:tcBorders>
            <w:tcMar>
              <w:top w:w="75" w:type="dxa"/>
              <w:left w:w="120" w:type="dxa"/>
              <w:bottom w:w="75" w:type="dxa"/>
              <w:right w:w="120" w:type="dxa"/>
            </w:tcMar>
          </w:tcPr>
          <w:p w14:paraId="0DEB6E4F" w14:textId="1A4CA5F0" w:rsidR="00E542E9" w:rsidRDefault="00E542E9" w:rsidP="00E542E9">
            <w:pPr>
              <w:spacing w:after="0" w:line="240" w:lineRule="auto"/>
              <w:ind w:left="240"/>
            </w:pPr>
            <w:r>
              <w:t>18</w:t>
            </w:r>
          </w:p>
        </w:tc>
      </w:tr>
      <w:tr w:rsidR="00E542E9" w14:paraId="5A83D919"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661080F6" w14:textId="5328E688" w:rsidR="00E542E9" w:rsidRDefault="00E542E9" w:rsidP="00E542E9">
            <w:pPr>
              <w:spacing w:after="0" w:line="240" w:lineRule="auto"/>
              <w:ind w:left="240"/>
            </w:pPr>
            <w:r>
              <w:rPr>
                <w:rFonts w:ascii="Cambria" w:hAnsi="Cambria"/>
                <w:color w:val="000000"/>
              </w:rPr>
              <w:t>Humber </w:t>
            </w:r>
          </w:p>
        </w:tc>
        <w:tc>
          <w:tcPr>
            <w:tcW w:w="1757" w:type="dxa"/>
            <w:tcBorders>
              <w:top w:val="single" w:sz="8" w:space="0" w:color="C1C7CD"/>
              <w:right w:val="single" w:sz="8" w:space="0" w:color="C1C7CD"/>
            </w:tcBorders>
          </w:tcPr>
          <w:p w14:paraId="4F8F250B" w14:textId="3E8D4FB7" w:rsidR="00E542E9" w:rsidRDefault="007B2590" w:rsidP="00E542E9">
            <w:pPr>
              <w:spacing w:after="0" w:line="240" w:lineRule="auto"/>
              <w:ind w:left="240"/>
              <w:rPr>
                <w:rFonts w:ascii="Cambria" w:hAnsi="Cambria"/>
                <w:color w:val="000000"/>
              </w:rPr>
            </w:pPr>
            <w:r>
              <w:rPr>
                <w:rFonts w:ascii="Cambria" w:hAnsi="Cambria"/>
                <w:color w:val="000000"/>
              </w:rPr>
              <w:t>72.0</w:t>
            </w:r>
          </w:p>
        </w:tc>
        <w:tc>
          <w:tcPr>
            <w:tcW w:w="2351" w:type="dxa"/>
            <w:tcBorders>
              <w:top w:val="single" w:sz="8" w:space="0" w:color="C1C7CD"/>
              <w:left w:val="single" w:sz="8" w:space="0" w:color="C1C7CD"/>
            </w:tcBorders>
            <w:tcMar>
              <w:top w:w="75" w:type="dxa"/>
              <w:left w:w="120" w:type="dxa"/>
              <w:bottom w:w="75" w:type="dxa"/>
              <w:right w:w="120" w:type="dxa"/>
            </w:tcMar>
          </w:tcPr>
          <w:p w14:paraId="22303988" w14:textId="1AE0E19E" w:rsidR="00E542E9" w:rsidRDefault="00E542E9" w:rsidP="00E542E9">
            <w:pPr>
              <w:spacing w:after="0" w:line="240" w:lineRule="auto"/>
              <w:ind w:left="240"/>
            </w:pPr>
            <w:r>
              <w:t>3.18</w:t>
            </w:r>
          </w:p>
        </w:tc>
        <w:tc>
          <w:tcPr>
            <w:tcW w:w="2511" w:type="dxa"/>
            <w:tcBorders>
              <w:top w:val="single" w:sz="8" w:space="0" w:color="C1C7CD"/>
              <w:left w:val="single" w:sz="8" w:space="0" w:color="C1C7CD"/>
            </w:tcBorders>
            <w:tcMar>
              <w:top w:w="75" w:type="dxa"/>
              <w:left w:w="120" w:type="dxa"/>
              <w:bottom w:w="75" w:type="dxa"/>
              <w:right w:w="120" w:type="dxa"/>
            </w:tcMar>
          </w:tcPr>
          <w:p w14:paraId="2F1BD9EB" w14:textId="75294DD3" w:rsidR="00E542E9" w:rsidRDefault="00E542E9" w:rsidP="00E542E9">
            <w:pPr>
              <w:spacing w:after="0" w:line="240" w:lineRule="auto"/>
              <w:ind w:left="240"/>
            </w:pPr>
            <w:r>
              <w:t>18</w:t>
            </w:r>
          </w:p>
        </w:tc>
      </w:tr>
      <w:tr w:rsidR="00E542E9" w14:paraId="016FC137" w14:textId="77777777" w:rsidTr="00F424C0">
        <w:trPr>
          <w:trHeight w:val="465"/>
          <w:tblCellSpacing w:w="0" w:type="dxa"/>
        </w:trPr>
        <w:tc>
          <w:tcPr>
            <w:tcW w:w="2606" w:type="dxa"/>
            <w:tcBorders>
              <w:top w:val="single" w:sz="8" w:space="0" w:color="C1C7CD"/>
              <w:bottom w:val="single" w:sz="8" w:space="0" w:color="C1C7CD"/>
            </w:tcBorders>
            <w:tcMar>
              <w:top w:w="75" w:type="dxa"/>
              <w:left w:w="120" w:type="dxa"/>
              <w:bottom w:w="75" w:type="dxa"/>
              <w:right w:w="120" w:type="dxa"/>
            </w:tcMar>
          </w:tcPr>
          <w:p w14:paraId="0F2C6DED" w14:textId="7FD49984" w:rsidR="00E542E9" w:rsidRDefault="00E542E9" w:rsidP="00E542E9">
            <w:pPr>
              <w:spacing w:after="0" w:line="240" w:lineRule="auto"/>
              <w:ind w:left="240"/>
            </w:pPr>
            <w:r>
              <w:rPr>
                <w:rFonts w:ascii="Cambria" w:hAnsi="Cambria"/>
                <w:color w:val="000000"/>
              </w:rPr>
              <w:t>Sheridan</w:t>
            </w:r>
          </w:p>
        </w:tc>
        <w:tc>
          <w:tcPr>
            <w:tcW w:w="1757" w:type="dxa"/>
            <w:tcBorders>
              <w:top w:val="single" w:sz="8" w:space="0" w:color="C1C7CD"/>
              <w:bottom w:val="single" w:sz="8" w:space="0" w:color="C1C7CD"/>
              <w:right w:val="single" w:sz="8" w:space="0" w:color="C1C7CD"/>
            </w:tcBorders>
          </w:tcPr>
          <w:p w14:paraId="20B08D2F" w14:textId="5575A42D" w:rsidR="00E542E9" w:rsidRDefault="007B2590" w:rsidP="00E542E9">
            <w:pPr>
              <w:spacing w:after="0" w:line="240" w:lineRule="auto"/>
              <w:ind w:left="240"/>
              <w:rPr>
                <w:rFonts w:ascii="Cambria" w:hAnsi="Cambria"/>
                <w:color w:val="000000"/>
              </w:rPr>
            </w:pPr>
            <w:r>
              <w:rPr>
                <w:rFonts w:ascii="Cambria" w:hAnsi="Cambria"/>
                <w:color w:val="000000"/>
              </w:rPr>
              <w:t>75</w:t>
            </w:r>
          </w:p>
        </w:tc>
        <w:tc>
          <w:tcPr>
            <w:tcW w:w="2351" w:type="dxa"/>
            <w:tcBorders>
              <w:top w:val="single" w:sz="8" w:space="0" w:color="C1C7CD"/>
              <w:left w:val="single" w:sz="8" w:space="0" w:color="C1C7CD"/>
              <w:bottom w:val="single" w:sz="8" w:space="0" w:color="C1C7CD"/>
            </w:tcBorders>
            <w:tcMar>
              <w:top w:w="75" w:type="dxa"/>
              <w:left w:w="120" w:type="dxa"/>
              <w:bottom w:w="75" w:type="dxa"/>
              <w:right w:w="120" w:type="dxa"/>
            </w:tcMar>
          </w:tcPr>
          <w:p w14:paraId="3681C868" w14:textId="173A9F8F" w:rsidR="00E542E9" w:rsidRDefault="00E542E9" w:rsidP="00E542E9">
            <w:pPr>
              <w:spacing w:after="0" w:line="240" w:lineRule="auto"/>
              <w:ind w:left="240"/>
            </w:pPr>
            <w:r>
              <w:t>2.75</w:t>
            </w:r>
          </w:p>
        </w:tc>
        <w:tc>
          <w:tcPr>
            <w:tcW w:w="2511" w:type="dxa"/>
            <w:tcBorders>
              <w:top w:val="single" w:sz="8" w:space="0" w:color="C1C7CD"/>
              <w:left w:val="single" w:sz="8" w:space="0" w:color="C1C7CD"/>
              <w:bottom w:val="single" w:sz="8" w:space="0" w:color="C1C7CD"/>
            </w:tcBorders>
            <w:tcMar>
              <w:top w:w="75" w:type="dxa"/>
              <w:left w:w="120" w:type="dxa"/>
              <w:bottom w:w="75" w:type="dxa"/>
              <w:right w:w="120" w:type="dxa"/>
            </w:tcMar>
          </w:tcPr>
          <w:p w14:paraId="2BF2172C" w14:textId="7E36EBA1" w:rsidR="00E542E9" w:rsidRDefault="00E542E9" w:rsidP="00E542E9">
            <w:pPr>
              <w:spacing w:after="0" w:line="240" w:lineRule="auto"/>
              <w:ind w:left="240"/>
            </w:pPr>
            <w:r>
              <w:t>4</w:t>
            </w:r>
          </w:p>
        </w:tc>
      </w:tr>
      <w:tr w:rsidR="00E542E9" w14:paraId="508EC0C2" w14:textId="77777777" w:rsidTr="00F424C0">
        <w:trPr>
          <w:trHeight w:val="465"/>
          <w:tblCellSpacing w:w="0" w:type="dxa"/>
        </w:trPr>
        <w:tc>
          <w:tcPr>
            <w:tcW w:w="2606" w:type="dxa"/>
            <w:tcBorders>
              <w:top w:val="single" w:sz="8" w:space="0" w:color="C1C7CD"/>
              <w:bottom w:val="single" w:sz="8" w:space="0" w:color="C1C7CD"/>
            </w:tcBorders>
            <w:tcMar>
              <w:top w:w="75" w:type="dxa"/>
              <w:left w:w="120" w:type="dxa"/>
              <w:bottom w:w="75" w:type="dxa"/>
              <w:right w:w="120" w:type="dxa"/>
            </w:tcMar>
          </w:tcPr>
          <w:p w14:paraId="602998D1" w14:textId="1A12536B" w:rsidR="00E542E9" w:rsidRDefault="00E542E9" w:rsidP="00E542E9">
            <w:pPr>
              <w:spacing w:after="0" w:line="240" w:lineRule="auto"/>
              <w:ind w:left="240"/>
              <w:rPr>
                <w:rFonts w:ascii="Cambria" w:hAnsi="Cambria"/>
                <w:color w:val="000000"/>
              </w:rPr>
            </w:pPr>
            <w:r>
              <w:rPr>
                <w:rFonts w:ascii="Cambria" w:hAnsi="Cambria"/>
                <w:color w:val="000000"/>
              </w:rPr>
              <w:t>Durham</w:t>
            </w:r>
          </w:p>
        </w:tc>
        <w:tc>
          <w:tcPr>
            <w:tcW w:w="1757" w:type="dxa"/>
            <w:tcBorders>
              <w:top w:val="single" w:sz="8" w:space="0" w:color="C1C7CD"/>
              <w:bottom w:val="single" w:sz="8" w:space="0" w:color="C1C7CD"/>
              <w:right w:val="single" w:sz="8" w:space="0" w:color="C1C7CD"/>
            </w:tcBorders>
          </w:tcPr>
          <w:p w14:paraId="6DB2EACF" w14:textId="7A46C4B2" w:rsidR="00E542E9" w:rsidRDefault="007B2590" w:rsidP="00E542E9">
            <w:pPr>
              <w:spacing w:after="0" w:line="240" w:lineRule="auto"/>
              <w:ind w:left="240"/>
              <w:rPr>
                <w:rFonts w:ascii="Cambria" w:hAnsi="Cambria"/>
                <w:color w:val="000000"/>
              </w:rPr>
            </w:pPr>
            <w:r>
              <w:rPr>
                <w:rFonts w:ascii="Cambria" w:hAnsi="Cambria"/>
                <w:color w:val="000000"/>
              </w:rPr>
              <w:t>100</w:t>
            </w:r>
          </w:p>
        </w:tc>
        <w:tc>
          <w:tcPr>
            <w:tcW w:w="2351" w:type="dxa"/>
            <w:tcBorders>
              <w:top w:val="single" w:sz="8" w:space="0" w:color="C1C7CD"/>
              <w:left w:val="single" w:sz="8" w:space="0" w:color="C1C7CD"/>
              <w:bottom w:val="single" w:sz="8" w:space="0" w:color="C1C7CD"/>
            </w:tcBorders>
            <w:tcMar>
              <w:top w:w="75" w:type="dxa"/>
              <w:left w:w="120" w:type="dxa"/>
              <w:bottom w:w="75" w:type="dxa"/>
              <w:right w:w="120" w:type="dxa"/>
            </w:tcMar>
          </w:tcPr>
          <w:p w14:paraId="36D87646" w14:textId="6EA90651" w:rsidR="00E542E9" w:rsidRDefault="00E542E9" w:rsidP="00E542E9">
            <w:pPr>
              <w:spacing w:after="0" w:line="240" w:lineRule="auto"/>
              <w:ind w:left="240"/>
              <w:rPr>
                <w:rFonts w:ascii="Cambria" w:hAnsi="Cambria"/>
                <w:color w:val="000000"/>
              </w:rPr>
            </w:pPr>
            <w:r>
              <w:rPr>
                <w:rFonts w:ascii="Cambria" w:hAnsi="Cambria"/>
                <w:color w:val="000000"/>
              </w:rPr>
              <w:t>4.00</w:t>
            </w:r>
          </w:p>
        </w:tc>
        <w:tc>
          <w:tcPr>
            <w:tcW w:w="2511" w:type="dxa"/>
            <w:tcBorders>
              <w:top w:val="single" w:sz="8" w:space="0" w:color="C1C7CD"/>
              <w:left w:val="single" w:sz="8" w:space="0" w:color="C1C7CD"/>
              <w:bottom w:val="single" w:sz="8" w:space="0" w:color="C1C7CD"/>
            </w:tcBorders>
            <w:tcMar>
              <w:top w:w="75" w:type="dxa"/>
              <w:left w:w="120" w:type="dxa"/>
              <w:bottom w:w="75" w:type="dxa"/>
              <w:right w:w="120" w:type="dxa"/>
            </w:tcMar>
          </w:tcPr>
          <w:p w14:paraId="293E27EF" w14:textId="4A81B4CE" w:rsidR="00E542E9" w:rsidRDefault="00E542E9" w:rsidP="00E542E9">
            <w:pPr>
              <w:spacing w:after="0" w:line="240" w:lineRule="auto"/>
              <w:ind w:left="240"/>
            </w:pPr>
            <w:r>
              <w:t>2</w:t>
            </w:r>
          </w:p>
        </w:tc>
      </w:tr>
      <w:tr w:rsidR="00E542E9" w14:paraId="36DAF1CE" w14:textId="77777777" w:rsidTr="00F424C0">
        <w:trPr>
          <w:trHeight w:val="465"/>
          <w:tblCellSpacing w:w="0" w:type="dxa"/>
        </w:trPr>
        <w:tc>
          <w:tcPr>
            <w:tcW w:w="2606" w:type="dxa"/>
            <w:tcBorders>
              <w:top w:val="single" w:sz="8" w:space="0" w:color="C1C7CD"/>
              <w:bottom w:val="single" w:sz="8" w:space="0" w:color="C1C7CD"/>
            </w:tcBorders>
            <w:tcMar>
              <w:top w:w="75" w:type="dxa"/>
              <w:left w:w="120" w:type="dxa"/>
              <w:bottom w:w="75" w:type="dxa"/>
              <w:right w:w="120" w:type="dxa"/>
            </w:tcMar>
          </w:tcPr>
          <w:p w14:paraId="6AA7A39B" w14:textId="4C16EA17" w:rsidR="00E542E9" w:rsidRDefault="00E542E9" w:rsidP="00E542E9">
            <w:pPr>
              <w:spacing w:after="0" w:line="240" w:lineRule="auto"/>
              <w:ind w:left="240"/>
              <w:rPr>
                <w:rFonts w:ascii="Cambria" w:hAnsi="Cambria"/>
                <w:color w:val="000000"/>
              </w:rPr>
            </w:pPr>
            <w:r>
              <w:rPr>
                <w:rFonts w:ascii="Cambria" w:hAnsi="Cambria"/>
                <w:color w:val="000000"/>
              </w:rPr>
              <w:t>Fanshawe</w:t>
            </w:r>
          </w:p>
        </w:tc>
        <w:tc>
          <w:tcPr>
            <w:tcW w:w="1757" w:type="dxa"/>
            <w:tcBorders>
              <w:top w:val="single" w:sz="8" w:space="0" w:color="C1C7CD"/>
              <w:bottom w:val="single" w:sz="8" w:space="0" w:color="C1C7CD"/>
              <w:right w:val="single" w:sz="8" w:space="0" w:color="C1C7CD"/>
            </w:tcBorders>
          </w:tcPr>
          <w:p w14:paraId="638A2D60" w14:textId="304BFAB3" w:rsidR="00E542E9" w:rsidRDefault="007B2590" w:rsidP="00E542E9">
            <w:pPr>
              <w:spacing w:after="0" w:line="240" w:lineRule="auto"/>
              <w:ind w:left="240"/>
              <w:rPr>
                <w:rFonts w:ascii="Cambria" w:hAnsi="Cambria"/>
                <w:color w:val="000000"/>
              </w:rPr>
            </w:pPr>
            <w:r>
              <w:rPr>
                <w:rFonts w:ascii="Cambria" w:hAnsi="Cambria"/>
                <w:color w:val="000000"/>
              </w:rPr>
              <w:t>100</w:t>
            </w:r>
          </w:p>
        </w:tc>
        <w:tc>
          <w:tcPr>
            <w:tcW w:w="2351" w:type="dxa"/>
            <w:tcBorders>
              <w:top w:val="single" w:sz="8" w:space="0" w:color="C1C7CD"/>
              <w:left w:val="single" w:sz="8" w:space="0" w:color="C1C7CD"/>
              <w:bottom w:val="single" w:sz="8" w:space="0" w:color="C1C7CD"/>
            </w:tcBorders>
            <w:tcMar>
              <w:top w:w="75" w:type="dxa"/>
              <w:left w:w="120" w:type="dxa"/>
              <w:bottom w:w="75" w:type="dxa"/>
              <w:right w:w="120" w:type="dxa"/>
            </w:tcMar>
          </w:tcPr>
          <w:p w14:paraId="3C3C4F32" w14:textId="69C88599" w:rsidR="00E542E9" w:rsidRDefault="00E542E9" w:rsidP="00E542E9">
            <w:pPr>
              <w:spacing w:after="0" w:line="240" w:lineRule="auto"/>
              <w:ind w:left="240"/>
              <w:rPr>
                <w:rFonts w:ascii="Cambria" w:hAnsi="Cambria"/>
                <w:color w:val="000000"/>
              </w:rPr>
            </w:pPr>
            <w:r>
              <w:rPr>
                <w:rFonts w:ascii="Cambria" w:hAnsi="Cambria"/>
                <w:color w:val="000000"/>
              </w:rPr>
              <w:t>2.00</w:t>
            </w:r>
          </w:p>
        </w:tc>
        <w:tc>
          <w:tcPr>
            <w:tcW w:w="2511" w:type="dxa"/>
            <w:tcBorders>
              <w:top w:val="single" w:sz="8" w:space="0" w:color="C1C7CD"/>
              <w:left w:val="single" w:sz="8" w:space="0" w:color="C1C7CD"/>
              <w:bottom w:val="single" w:sz="8" w:space="0" w:color="C1C7CD"/>
            </w:tcBorders>
            <w:tcMar>
              <w:top w:w="75" w:type="dxa"/>
              <w:left w:w="120" w:type="dxa"/>
              <w:bottom w:w="75" w:type="dxa"/>
              <w:right w:w="120" w:type="dxa"/>
            </w:tcMar>
          </w:tcPr>
          <w:p w14:paraId="70B6FB7E" w14:textId="7B0E1742" w:rsidR="00E542E9" w:rsidRDefault="00E542E9" w:rsidP="00E542E9">
            <w:pPr>
              <w:spacing w:after="0" w:line="240" w:lineRule="auto"/>
              <w:ind w:left="240"/>
            </w:pPr>
            <w:r>
              <w:t>1</w:t>
            </w:r>
          </w:p>
        </w:tc>
      </w:tr>
      <w:tr w:rsidR="00E542E9" w14:paraId="72B8089F" w14:textId="77777777" w:rsidTr="00F424C0">
        <w:trPr>
          <w:trHeight w:val="465"/>
          <w:tblCellSpacing w:w="0" w:type="dxa"/>
        </w:trPr>
        <w:tc>
          <w:tcPr>
            <w:tcW w:w="2606" w:type="dxa"/>
            <w:tcBorders>
              <w:top w:val="single" w:sz="8" w:space="0" w:color="C1C7CD"/>
            </w:tcBorders>
            <w:tcMar>
              <w:top w:w="75" w:type="dxa"/>
              <w:left w:w="120" w:type="dxa"/>
              <w:bottom w:w="75" w:type="dxa"/>
              <w:right w:w="120" w:type="dxa"/>
            </w:tcMar>
          </w:tcPr>
          <w:p w14:paraId="281F7DC2" w14:textId="261F535E" w:rsidR="00E542E9" w:rsidRDefault="00E542E9" w:rsidP="00E542E9">
            <w:pPr>
              <w:spacing w:after="0" w:line="240" w:lineRule="auto"/>
              <w:ind w:left="240"/>
              <w:rPr>
                <w:rFonts w:ascii="Cambria" w:hAnsi="Cambria"/>
                <w:color w:val="000000"/>
              </w:rPr>
            </w:pPr>
            <w:r>
              <w:rPr>
                <w:rFonts w:ascii="Cambria" w:hAnsi="Cambria"/>
                <w:color w:val="000000"/>
              </w:rPr>
              <w:t>Mohawk</w:t>
            </w:r>
          </w:p>
        </w:tc>
        <w:tc>
          <w:tcPr>
            <w:tcW w:w="1757" w:type="dxa"/>
            <w:tcBorders>
              <w:top w:val="single" w:sz="8" w:space="0" w:color="C1C7CD"/>
              <w:right w:val="single" w:sz="8" w:space="0" w:color="C1C7CD"/>
            </w:tcBorders>
          </w:tcPr>
          <w:p w14:paraId="52B65828" w14:textId="4CA04292" w:rsidR="00E542E9" w:rsidRDefault="007B2590" w:rsidP="00E542E9">
            <w:pPr>
              <w:spacing w:after="0" w:line="240" w:lineRule="auto"/>
              <w:ind w:left="240"/>
              <w:rPr>
                <w:rFonts w:ascii="Cambria" w:hAnsi="Cambria"/>
                <w:color w:val="000000"/>
              </w:rPr>
            </w:pPr>
            <w:r>
              <w:rPr>
                <w:rFonts w:ascii="Cambria" w:hAnsi="Cambria"/>
                <w:color w:val="000000"/>
              </w:rPr>
              <w:t>100</w:t>
            </w:r>
          </w:p>
        </w:tc>
        <w:tc>
          <w:tcPr>
            <w:tcW w:w="2351" w:type="dxa"/>
            <w:tcBorders>
              <w:top w:val="single" w:sz="8" w:space="0" w:color="C1C7CD"/>
              <w:left w:val="single" w:sz="8" w:space="0" w:color="C1C7CD"/>
            </w:tcBorders>
            <w:tcMar>
              <w:top w:w="75" w:type="dxa"/>
              <w:left w:w="120" w:type="dxa"/>
              <w:bottom w:w="75" w:type="dxa"/>
              <w:right w:w="120" w:type="dxa"/>
            </w:tcMar>
          </w:tcPr>
          <w:p w14:paraId="5B283193" w14:textId="648FE51E" w:rsidR="00E542E9" w:rsidRDefault="00E542E9" w:rsidP="00E542E9">
            <w:pPr>
              <w:spacing w:after="0" w:line="240" w:lineRule="auto"/>
              <w:ind w:left="240"/>
              <w:rPr>
                <w:rFonts w:ascii="Cambria" w:hAnsi="Cambria"/>
                <w:color w:val="000000"/>
              </w:rPr>
            </w:pPr>
            <w:r>
              <w:rPr>
                <w:rFonts w:ascii="Cambria" w:hAnsi="Cambria"/>
                <w:color w:val="000000"/>
              </w:rPr>
              <w:t>3.00</w:t>
            </w:r>
          </w:p>
        </w:tc>
        <w:tc>
          <w:tcPr>
            <w:tcW w:w="2511" w:type="dxa"/>
            <w:tcBorders>
              <w:top w:val="single" w:sz="8" w:space="0" w:color="C1C7CD"/>
              <w:left w:val="single" w:sz="8" w:space="0" w:color="C1C7CD"/>
            </w:tcBorders>
            <w:tcMar>
              <w:top w:w="75" w:type="dxa"/>
              <w:left w:w="120" w:type="dxa"/>
              <w:bottom w:w="75" w:type="dxa"/>
              <w:right w:w="120" w:type="dxa"/>
            </w:tcMar>
          </w:tcPr>
          <w:p w14:paraId="3002B3CA" w14:textId="4B8D595D" w:rsidR="00E542E9" w:rsidRDefault="00E542E9" w:rsidP="00E542E9">
            <w:pPr>
              <w:spacing w:after="0" w:line="240" w:lineRule="auto"/>
              <w:ind w:left="240"/>
            </w:pPr>
            <w:r>
              <w:t>1</w:t>
            </w:r>
          </w:p>
        </w:tc>
      </w:tr>
    </w:tbl>
    <w:p w14:paraId="3754005F" w14:textId="16D2C2D1" w:rsidR="00844548" w:rsidRDefault="00844548">
      <w:pPr>
        <w:spacing w:after="0"/>
        <w:ind w:left="120"/>
      </w:pPr>
    </w:p>
    <w:p w14:paraId="2E887BCE" w14:textId="77777777" w:rsidR="00844548" w:rsidRDefault="00844548">
      <w:r>
        <w:br w:type="page"/>
      </w:r>
    </w:p>
    <w:p w14:paraId="2D5E543F" w14:textId="0522C0A4" w:rsidR="00F14699" w:rsidRDefault="00631874">
      <w:pPr>
        <w:spacing w:after="0"/>
        <w:ind w:left="120"/>
      </w:pPr>
      <w:r w:rsidRPr="00631874">
        <w:rPr>
          <w:noProof/>
        </w:rPr>
        <w:lastRenderedPageBreak/>
        <w:drawing>
          <wp:inline distT="0" distB="0" distL="0" distR="0" wp14:anchorId="2A4854C0" wp14:editId="2473AF8F">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C9F087E" w14:textId="77777777" w:rsidR="00F14699" w:rsidRDefault="009238FB">
      <w:pPr>
        <w:spacing w:after="0"/>
        <w:ind w:left="120"/>
      </w:pPr>
      <w:r>
        <w:rPr>
          <w:rFonts w:ascii="Cambria" w:hAnsi="Cambria"/>
          <w:color w:val="000000"/>
        </w:rPr>
        <w:t> </w:t>
      </w:r>
    </w:p>
    <w:p w14:paraId="6C158FC1" w14:textId="0332839D" w:rsidR="00F14699" w:rsidRDefault="009238FB">
      <w:pPr>
        <w:spacing w:after="0"/>
        <w:ind w:left="120"/>
      </w:pPr>
      <w:r>
        <w:rPr>
          <w:rFonts w:ascii="Cambria" w:hAnsi="Cambria"/>
          <w:color w:val="000000"/>
        </w:rPr>
        <w:t> </w:t>
      </w:r>
    </w:p>
    <w:p w14:paraId="1238D1FB" w14:textId="77777777" w:rsidR="00F14699" w:rsidRDefault="009238FB">
      <w:pPr>
        <w:spacing w:after="0"/>
        <w:ind w:left="120"/>
      </w:pPr>
      <w:r>
        <w:rPr>
          <w:rFonts w:ascii="Cambria" w:hAnsi="Cambria"/>
          <w:color w:val="000000"/>
        </w:rPr>
        <w:t> </w:t>
      </w:r>
    </w:p>
    <w:p w14:paraId="28DC4F32" w14:textId="77777777" w:rsidR="00067AC3" w:rsidRDefault="00067AC3">
      <w:pPr>
        <w:rPr>
          <w:rFonts w:ascii="Cambria" w:hAnsi="Cambria"/>
          <w:b/>
          <w:color w:val="000000"/>
        </w:rPr>
      </w:pPr>
      <w:r>
        <w:rPr>
          <w:rFonts w:ascii="Cambria" w:hAnsi="Cambria"/>
          <w:b/>
          <w:color w:val="000000"/>
        </w:rPr>
        <w:br w:type="page"/>
      </w:r>
    </w:p>
    <w:p w14:paraId="26D6EFCE" w14:textId="13DDFC66" w:rsidR="00F14699" w:rsidRDefault="00004CBC" w:rsidP="00067AC3">
      <w:pPr>
        <w:spacing w:after="0"/>
        <w:ind w:left="120"/>
        <w:jc w:val="center"/>
      </w:pPr>
      <w:r>
        <w:rPr>
          <w:rFonts w:ascii="Cambria" w:hAnsi="Cambria"/>
          <w:b/>
          <w:color w:val="000000"/>
        </w:rPr>
        <w:lastRenderedPageBreak/>
        <w:t xml:space="preserve">Table </w:t>
      </w:r>
      <w:r w:rsidR="000E7BD3">
        <w:rPr>
          <w:rFonts w:ascii="Cambria" w:hAnsi="Cambria"/>
          <w:b/>
          <w:color w:val="000000"/>
        </w:rPr>
        <w:t>3</w:t>
      </w:r>
      <w:r>
        <w:rPr>
          <w:rFonts w:ascii="Cambria" w:hAnsi="Cambria"/>
          <w:b/>
          <w:color w:val="000000"/>
        </w:rPr>
        <w:t xml:space="preserve">: Demographics and High School Academics of </w:t>
      </w:r>
      <w:r w:rsidR="009238FB">
        <w:rPr>
          <w:rFonts w:ascii="Cambria" w:hAnsi="Cambria"/>
          <w:b/>
          <w:color w:val="000000"/>
        </w:rPr>
        <w:t>Un</w:t>
      </w:r>
      <w:r>
        <w:rPr>
          <w:rFonts w:ascii="Cambria" w:hAnsi="Cambria"/>
          <w:b/>
          <w:color w:val="000000"/>
        </w:rPr>
        <w:t xml:space="preserve">dergraduate Transfers into UofT </w:t>
      </w:r>
      <w:r>
        <w:rPr>
          <w:rFonts w:ascii="Cambria" w:hAnsi="Cambria"/>
          <w:b/>
          <w:color w:val="000000"/>
        </w:rPr>
        <w:br/>
        <w:t>(</w:t>
      </w:r>
      <w:r w:rsidR="009238FB">
        <w:rPr>
          <w:rFonts w:ascii="Cambria" w:hAnsi="Cambria"/>
          <w:b/>
          <w:color w:val="000000"/>
        </w:rPr>
        <w:t>n=</w:t>
      </w:r>
      <w:r w:rsidR="003D7CC9">
        <w:rPr>
          <w:rFonts w:ascii="Cambria" w:hAnsi="Cambria"/>
          <w:b/>
          <w:color w:val="000000"/>
        </w:rPr>
        <w:t>17</w:t>
      </w:r>
      <w:r w:rsidR="009238FB">
        <w:rPr>
          <w:rFonts w:ascii="Cambria" w:hAnsi="Cambria"/>
          <w:b/>
          <w:color w:val="000000"/>
        </w:rPr>
        <w:t>,</w:t>
      </w:r>
      <w:r w:rsidR="003D7CC9">
        <w:rPr>
          <w:rFonts w:ascii="Cambria" w:hAnsi="Cambria"/>
          <w:b/>
          <w:color w:val="000000"/>
        </w:rPr>
        <w:t>838</w:t>
      </w:r>
      <w:r w:rsidR="009238FB">
        <w:rPr>
          <w:rFonts w:ascii="Cambria" w:hAnsi="Cambria"/>
          <w:b/>
          <w:color w:val="000000"/>
        </w:rPr>
        <w:t>)</w:t>
      </w:r>
    </w:p>
    <w:tbl>
      <w:tblPr>
        <w:tblW w:w="11480" w:type="dxa"/>
        <w:tblCellSpacing w:w="0" w:type="dxa"/>
        <w:tblInd w:w="-730"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1911"/>
        <w:gridCol w:w="1644"/>
        <w:gridCol w:w="1506"/>
        <w:gridCol w:w="1626"/>
        <w:gridCol w:w="1556"/>
        <w:gridCol w:w="1477"/>
        <w:gridCol w:w="1760"/>
      </w:tblGrid>
      <w:tr w:rsidR="009E293B" w14:paraId="4DE77ED6" w14:textId="77777777" w:rsidTr="009E293B">
        <w:trPr>
          <w:trHeight w:val="450"/>
          <w:tblCellSpacing w:w="0" w:type="dxa"/>
        </w:trPr>
        <w:tc>
          <w:tcPr>
            <w:tcW w:w="1973" w:type="dxa"/>
            <w:tcMar>
              <w:top w:w="75" w:type="dxa"/>
              <w:left w:w="120" w:type="dxa"/>
              <w:bottom w:w="75" w:type="dxa"/>
              <w:right w:w="120" w:type="dxa"/>
            </w:tcMar>
          </w:tcPr>
          <w:p w14:paraId="1EBA85FC" w14:textId="77777777" w:rsidR="009E293B" w:rsidRDefault="009E293B">
            <w:pPr>
              <w:spacing w:after="0"/>
              <w:ind w:left="240"/>
            </w:pPr>
            <w:r>
              <w:rPr>
                <w:rFonts w:ascii="Cambria" w:hAnsi="Cambria"/>
                <w:color w:val="000000"/>
              </w:rPr>
              <w:t> </w:t>
            </w:r>
          </w:p>
        </w:tc>
        <w:tc>
          <w:tcPr>
            <w:tcW w:w="1668" w:type="dxa"/>
            <w:tcBorders>
              <w:left w:val="single" w:sz="8" w:space="0" w:color="C1C7CD"/>
            </w:tcBorders>
            <w:tcMar>
              <w:top w:w="75" w:type="dxa"/>
              <w:left w:w="120" w:type="dxa"/>
              <w:bottom w:w="75" w:type="dxa"/>
              <w:right w:w="120" w:type="dxa"/>
            </w:tcMar>
          </w:tcPr>
          <w:p w14:paraId="74B2C758" w14:textId="77777777" w:rsidR="009E293B" w:rsidRPr="00681D2E" w:rsidRDefault="009E293B">
            <w:pPr>
              <w:spacing w:after="0"/>
              <w:ind w:left="240"/>
            </w:pPr>
            <w:r w:rsidRPr="00681D2E">
              <w:rPr>
                <w:rFonts w:ascii="Cambria" w:hAnsi="Cambria"/>
                <w:color w:val="000000"/>
              </w:rPr>
              <w:t>Direct Entry</w:t>
            </w:r>
          </w:p>
          <w:p w14:paraId="09968105" w14:textId="49A25FCE" w:rsidR="009E293B" w:rsidRDefault="009E293B">
            <w:pPr>
              <w:spacing w:after="0"/>
              <w:ind w:left="240"/>
            </w:pPr>
            <w:r w:rsidRPr="00681D2E">
              <w:rPr>
                <w:rFonts w:ascii="Cambria" w:hAnsi="Cambria"/>
                <w:color w:val="000000"/>
              </w:rPr>
              <w:t>(n=17,559)</w:t>
            </w:r>
          </w:p>
        </w:tc>
        <w:tc>
          <w:tcPr>
            <w:tcW w:w="1528" w:type="dxa"/>
            <w:tcBorders>
              <w:left w:val="single" w:sz="8" w:space="0" w:color="C1C7CD"/>
            </w:tcBorders>
            <w:tcMar>
              <w:top w:w="75" w:type="dxa"/>
              <w:left w:w="120" w:type="dxa"/>
              <w:bottom w:w="75" w:type="dxa"/>
              <w:right w:w="120" w:type="dxa"/>
            </w:tcMar>
          </w:tcPr>
          <w:p w14:paraId="6DE04EA4" w14:textId="77777777" w:rsidR="009E293B" w:rsidRDefault="009E293B">
            <w:pPr>
              <w:spacing w:after="0"/>
              <w:ind w:left="240"/>
            </w:pPr>
            <w:r>
              <w:rPr>
                <w:rFonts w:ascii="Cambria" w:hAnsi="Cambria"/>
                <w:color w:val="000000"/>
              </w:rPr>
              <w:t>All Transfers</w:t>
            </w:r>
          </w:p>
          <w:p w14:paraId="5135E1C3" w14:textId="4FB405A3" w:rsidR="009E293B" w:rsidRDefault="009E293B">
            <w:pPr>
              <w:spacing w:after="0"/>
              <w:ind w:left="240"/>
            </w:pPr>
            <w:r>
              <w:rPr>
                <w:rFonts w:ascii="Cambria" w:hAnsi="Cambria"/>
                <w:color w:val="000000"/>
              </w:rPr>
              <w:t>(n=279)</w:t>
            </w:r>
          </w:p>
        </w:tc>
        <w:tc>
          <w:tcPr>
            <w:tcW w:w="1673" w:type="dxa"/>
            <w:tcBorders>
              <w:left w:val="single" w:sz="8" w:space="0" w:color="C1C7CD"/>
            </w:tcBorders>
            <w:tcMar>
              <w:top w:w="75" w:type="dxa"/>
              <w:left w:w="120" w:type="dxa"/>
              <w:bottom w:w="75" w:type="dxa"/>
              <w:right w:w="120" w:type="dxa"/>
            </w:tcMar>
          </w:tcPr>
          <w:p w14:paraId="1B22DD2B" w14:textId="77777777" w:rsidR="009E293B" w:rsidRDefault="009E293B">
            <w:pPr>
              <w:spacing w:after="0"/>
              <w:ind w:left="240"/>
            </w:pPr>
            <w:r>
              <w:rPr>
                <w:rFonts w:ascii="Cambria" w:hAnsi="Cambria"/>
                <w:color w:val="000000"/>
              </w:rPr>
              <w:t>Ontario University</w:t>
            </w:r>
          </w:p>
          <w:p w14:paraId="238B809B" w14:textId="0BA2D93E" w:rsidR="009E293B" w:rsidRDefault="009E293B">
            <w:pPr>
              <w:spacing w:after="0"/>
              <w:ind w:left="240"/>
            </w:pPr>
            <w:r>
              <w:rPr>
                <w:rFonts w:ascii="Cambria" w:hAnsi="Cambria"/>
                <w:color w:val="000000"/>
              </w:rPr>
              <w:t>(n=122)</w:t>
            </w:r>
          </w:p>
        </w:tc>
        <w:tc>
          <w:tcPr>
            <w:tcW w:w="1594" w:type="dxa"/>
            <w:tcBorders>
              <w:left w:val="single" w:sz="8" w:space="0" w:color="C1C7CD"/>
            </w:tcBorders>
            <w:tcMar>
              <w:top w:w="75" w:type="dxa"/>
              <w:left w:w="120" w:type="dxa"/>
              <w:bottom w:w="75" w:type="dxa"/>
              <w:right w:w="120" w:type="dxa"/>
            </w:tcMar>
          </w:tcPr>
          <w:p w14:paraId="39D186D0" w14:textId="77B20A15" w:rsidR="009E293B" w:rsidRDefault="009E293B">
            <w:pPr>
              <w:spacing w:after="0"/>
              <w:ind w:left="240"/>
            </w:pPr>
            <w:r>
              <w:rPr>
                <w:rFonts w:ascii="Cambria" w:hAnsi="Cambria"/>
                <w:color w:val="000000"/>
              </w:rPr>
              <w:t>Ontario C. College (n=78)</w:t>
            </w:r>
          </w:p>
        </w:tc>
        <w:tc>
          <w:tcPr>
            <w:tcW w:w="1477" w:type="dxa"/>
            <w:tcBorders>
              <w:left w:val="single" w:sz="8" w:space="0" w:color="C1C7CD"/>
            </w:tcBorders>
            <w:tcMar>
              <w:top w:w="75" w:type="dxa"/>
              <w:left w:w="120" w:type="dxa"/>
              <w:bottom w:w="75" w:type="dxa"/>
              <w:right w:w="120" w:type="dxa"/>
            </w:tcMar>
          </w:tcPr>
          <w:p w14:paraId="362D9E7F" w14:textId="100927F9" w:rsidR="009E293B" w:rsidRDefault="009E293B">
            <w:pPr>
              <w:spacing w:after="0"/>
              <w:ind w:left="240"/>
            </w:pPr>
            <w:r>
              <w:rPr>
                <w:rFonts w:ascii="Cambria" w:hAnsi="Cambria"/>
                <w:color w:val="000000"/>
              </w:rPr>
              <w:t>Other Can University (n=44)</w:t>
            </w:r>
          </w:p>
        </w:tc>
        <w:tc>
          <w:tcPr>
            <w:tcW w:w="1567" w:type="dxa"/>
            <w:tcBorders>
              <w:left w:val="single" w:sz="8" w:space="0" w:color="C1C7CD"/>
            </w:tcBorders>
            <w:tcMar>
              <w:top w:w="75" w:type="dxa"/>
              <w:left w:w="120" w:type="dxa"/>
              <w:bottom w:w="75" w:type="dxa"/>
              <w:right w:w="120" w:type="dxa"/>
            </w:tcMar>
          </w:tcPr>
          <w:p w14:paraId="0F264C2D" w14:textId="39FBA1D0" w:rsidR="009E293B" w:rsidRDefault="009E293B">
            <w:pPr>
              <w:spacing w:after="0"/>
              <w:ind w:left="240"/>
            </w:pPr>
            <w:r>
              <w:rPr>
                <w:rFonts w:ascii="Cambria" w:hAnsi="Cambria"/>
                <w:color w:val="000000"/>
              </w:rPr>
              <w:t>International University (n=27)</w:t>
            </w:r>
          </w:p>
        </w:tc>
      </w:tr>
      <w:tr w:rsidR="009E293B" w14:paraId="4028602F"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44F9C477" w14:textId="77777777" w:rsidR="009E293B" w:rsidRDefault="009E293B">
            <w:pPr>
              <w:spacing w:after="0"/>
              <w:ind w:left="240"/>
            </w:pPr>
            <w:r>
              <w:rPr>
                <w:rFonts w:ascii="Cambria" w:hAnsi="Cambria"/>
                <w:color w:val="000000"/>
              </w:rPr>
              <w:t>Female</w:t>
            </w:r>
          </w:p>
        </w:tc>
        <w:tc>
          <w:tcPr>
            <w:tcW w:w="1668" w:type="dxa"/>
            <w:tcBorders>
              <w:top w:val="single" w:sz="8" w:space="0" w:color="C1C7CD"/>
              <w:left w:val="single" w:sz="8" w:space="0" w:color="C1C7CD"/>
            </w:tcBorders>
            <w:tcMar>
              <w:top w:w="75" w:type="dxa"/>
              <w:left w:w="120" w:type="dxa"/>
              <w:bottom w:w="75" w:type="dxa"/>
              <w:right w:w="120" w:type="dxa"/>
            </w:tcMar>
          </w:tcPr>
          <w:p w14:paraId="3CF2D236" w14:textId="36664BAF" w:rsidR="009E293B" w:rsidRDefault="009E293B">
            <w:pPr>
              <w:spacing w:after="0"/>
              <w:ind w:left="240"/>
            </w:pPr>
            <w:r>
              <w:rPr>
                <w:rFonts w:ascii="Cambria" w:hAnsi="Cambria"/>
                <w:color w:val="000000"/>
              </w:rPr>
              <w:t>.560</w:t>
            </w:r>
          </w:p>
        </w:tc>
        <w:tc>
          <w:tcPr>
            <w:tcW w:w="1528" w:type="dxa"/>
            <w:tcBorders>
              <w:top w:val="single" w:sz="8" w:space="0" w:color="C1C7CD"/>
              <w:left w:val="single" w:sz="8" w:space="0" w:color="C1C7CD"/>
            </w:tcBorders>
            <w:tcMar>
              <w:top w:w="75" w:type="dxa"/>
              <w:left w:w="120" w:type="dxa"/>
              <w:bottom w:w="75" w:type="dxa"/>
              <w:right w:w="120" w:type="dxa"/>
            </w:tcMar>
          </w:tcPr>
          <w:p w14:paraId="4A77384F" w14:textId="5AA57992" w:rsidR="009E293B" w:rsidRDefault="009E293B">
            <w:pPr>
              <w:spacing w:after="0"/>
              <w:ind w:left="240"/>
            </w:pPr>
            <w:r>
              <w:rPr>
                <w:rFonts w:ascii="Cambria" w:hAnsi="Cambria"/>
                <w:color w:val="000000"/>
              </w:rPr>
              <w:t>.627*</w:t>
            </w:r>
          </w:p>
        </w:tc>
        <w:tc>
          <w:tcPr>
            <w:tcW w:w="1673" w:type="dxa"/>
            <w:tcBorders>
              <w:top w:val="single" w:sz="8" w:space="0" w:color="C1C7CD"/>
              <w:left w:val="single" w:sz="8" w:space="0" w:color="C1C7CD"/>
            </w:tcBorders>
            <w:tcMar>
              <w:top w:w="75" w:type="dxa"/>
              <w:left w:w="120" w:type="dxa"/>
              <w:bottom w:w="75" w:type="dxa"/>
              <w:right w:w="120" w:type="dxa"/>
            </w:tcMar>
          </w:tcPr>
          <w:p w14:paraId="5AB80E9B" w14:textId="3C07F903" w:rsidR="009E293B" w:rsidRDefault="009E293B">
            <w:pPr>
              <w:spacing w:after="0"/>
              <w:ind w:left="240"/>
            </w:pPr>
            <w:r>
              <w:rPr>
                <w:rFonts w:ascii="Cambria" w:hAnsi="Cambria"/>
                <w:color w:val="000000"/>
              </w:rPr>
              <w:t>.639</w:t>
            </w:r>
          </w:p>
        </w:tc>
        <w:tc>
          <w:tcPr>
            <w:tcW w:w="1594" w:type="dxa"/>
            <w:tcBorders>
              <w:top w:val="single" w:sz="8" w:space="0" w:color="C1C7CD"/>
              <w:left w:val="single" w:sz="8" w:space="0" w:color="C1C7CD"/>
            </w:tcBorders>
            <w:tcMar>
              <w:top w:w="75" w:type="dxa"/>
              <w:left w:w="120" w:type="dxa"/>
              <w:bottom w:w="75" w:type="dxa"/>
              <w:right w:w="120" w:type="dxa"/>
            </w:tcMar>
          </w:tcPr>
          <w:p w14:paraId="62153D54" w14:textId="4A753AB7" w:rsidR="009E293B" w:rsidRDefault="009E293B">
            <w:pPr>
              <w:spacing w:after="0"/>
              <w:ind w:left="240"/>
            </w:pPr>
            <w:r>
              <w:rPr>
                <w:rFonts w:ascii="Cambria" w:hAnsi="Cambria"/>
                <w:color w:val="000000"/>
              </w:rPr>
              <w:t>.564</w:t>
            </w:r>
          </w:p>
        </w:tc>
        <w:tc>
          <w:tcPr>
            <w:tcW w:w="1477" w:type="dxa"/>
            <w:tcBorders>
              <w:top w:val="single" w:sz="8" w:space="0" w:color="C1C7CD"/>
              <w:left w:val="single" w:sz="8" w:space="0" w:color="C1C7CD"/>
            </w:tcBorders>
            <w:tcMar>
              <w:top w:w="75" w:type="dxa"/>
              <w:left w:w="120" w:type="dxa"/>
              <w:bottom w:w="75" w:type="dxa"/>
              <w:right w:w="120" w:type="dxa"/>
            </w:tcMar>
          </w:tcPr>
          <w:p w14:paraId="63DEA45E" w14:textId="464BA0A1" w:rsidR="009E293B" w:rsidRDefault="009E293B">
            <w:pPr>
              <w:spacing w:after="0"/>
              <w:ind w:left="240"/>
            </w:pPr>
            <w:r>
              <w:rPr>
                <w:rFonts w:ascii="Cambria" w:hAnsi="Cambria"/>
                <w:color w:val="000000"/>
              </w:rPr>
              <w:t>.682</w:t>
            </w:r>
          </w:p>
        </w:tc>
        <w:tc>
          <w:tcPr>
            <w:tcW w:w="1567" w:type="dxa"/>
            <w:tcBorders>
              <w:top w:val="single" w:sz="8" w:space="0" w:color="C1C7CD"/>
              <w:left w:val="single" w:sz="8" w:space="0" w:color="C1C7CD"/>
            </w:tcBorders>
            <w:tcMar>
              <w:top w:w="75" w:type="dxa"/>
              <w:left w:w="120" w:type="dxa"/>
              <w:bottom w:w="75" w:type="dxa"/>
              <w:right w:w="120" w:type="dxa"/>
            </w:tcMar>
          </w:tcPr>
          <w:p w14:paraId="6F5496B8" w14:textId="51576517" w:rsidR="009E293B" w:rsidRDefault="009E293B">
            <w:pPr>
              <w:spacing w:after="0"/>
              <w:ind w:left="240"/>
            </w:pPr>
            <w:r>
              <w:rPr>
                <w:rFonts w:ascii="Cambria" w:hAnsi="Cambria"/>
                <w:color w:val="000000"/>
              </w:rPr>
              <w:t>.556</w:t>
            </w:r>
          </w:p>
        </w:tc>
      </w:tr>
      <w:tr w:rsidR="009E293B" w14:paraId="5887C73C"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67FECA3B" w14:textId="77777777" w:rsidR="009E293B" w:rsidRDefault="009E293B">
            <w:pPr>
              <w:spacing w:after="0"/>
              <w:ind w:left="240"/>
            </w:pPr>
            <w:r>
              <w:rPr>
                <w:rFonts w:ascii="Cambria" w:hAnsi="Cambria"/>
                <w:color w:val="000000"/>
              </w:rPr>
              <w:t>English language</w:t>
            </w:r>
          </w:p>
        </w:tc>
        <w:tc>
          <w:tcPr>
            <w:tcW w:w="1668" w:type="dxa"/>
            <w:tcBorders>
              <w:top w:val="single" w:sz="8" w:space="0" w:color="C1C7CD"/>
              <w:left w:val="single" w:sz="8" w:space="0" w:color="C1C7CD"/>
            </w:tcBorders>
            <w:tcMar>
              <w:top w:w="75" w:type="dxa"/>
              <w:left w:w="120" w:type="dxa"/>
              <w:bottom w:w="75" w:type="dxa"/>
              <w:right w:w="120" w:type="dxa"/>
            </w:tcMar>
          </w:tcPr>
          <w:p w14:paraId="34A12D80" w14:textId="0A365480" w:rsidR="009E293B" w:rsidRDefault="009E293B">
            <w:pPr>
              <w:spacing w:after="0"/>
              <w:ind w:left="240"/>
            </w:pPr>
            <w:r>
              <w:rPr>
                <w:rFonts w:ascii="Cambria" w:hAnsi="Cambria"/>
                <w:color w:val="000000"/>
              </w:rPr>
              <w:t>.274</w:t>
            </w:r>
          </w:p>
        </w:tc>
        <w:tc>
          <w:tcPr>
            <w:tcW w:w="1528" w:type="dxa"/>
            <w:tcBorders>
              <w:top w:val="single" w:sz="8" w:space="0" w:color="C1C7CD"/>
              <w:left w:val="single" w:sz="8" w:space="0" w:color="C1C7CD"/>
            </w:tcBorders>
            <w:tcMar>
              <w:top w:w="75" w:type="dxa"/>
              <w:left w:w="120" w:type="dxa"/>
              <w:bottom w:w="75" w:type="dxa"/>
              <w:right w:w="120" w:type="dxa"/>
            </w:tcMar>
          </w:tcPr>
          <w:p w14:paraId="265B48D7" w14:textId="0BC3D272" w:rsidR="009E293B" w:rsidRDefault="009E293B">
            <w:pPr>
              <w:spacing w:after="0"/>
              <w:ind w:left="240"/>
            </w:pPr>
            <w:r>
              <w:rPr>
                <w:rFonts w:ascii="Cambria" w:hAnsi="Cambria"/>
                <w:color w:val="000000"/>
              </w:rPr>
              <w:t>.561***</w:t>
            </w:r>
          </w:p>
        </w:tc>
        <w:tc>
          <w:tcPr>
            <w:tcW w:w="1673" w:type="dxa"/>
            <w:tcBorders>
              <w:top w:val="single" w:sz="8" w:space="0" w:color="C1C7CD"/>
              <w:left w:val="single" w:sz="8" w:space="0" w:color="C1C7CD"/>
            </w:tcBorders>
            <w:tcMar>
              <w:top w:w="75" w:type="dxa"/>
              <w:left w:w="120" w:type="dxa"/>
              <w:bottom w:w="75" w:type="dxa"/>
              <w:right w:w="120" w:type="dxa"/>
            </w:tcMar>
          </w:tcPr>
          <w:p w14:paraId="17062292" w14:textId="52B846CE" w:rsidR="009E293B" w:rsidRDefault="009E293B">
            <w:pPr>
              <w:spacing w:after="0"/>
              <w:ind w:left="240"/>
            </w:pPr>
            <w:r>
              <w:rPr>
                <w:rFonts w:ascii="Cambria" w:hAnsi="Cambria"/>
                <w:color w:val="000000"/>
              </w:rPr>
              <w:t>.521***</w:t>
            </w:r>
          </w:p>
        </w:tc>
        <w:tc>
          <w:tcPr>
            <w:tcW w:w="1594" w:type="dxa"/>
            <w:tcBorders>
              <w:top w:val="single" w:sz="8" w:space="0" w:color="C1C7CD"/>
              <w:left w:val="single" w:sz="8" w:space="0" w:color="C1C7CD"/>
            </w:tcBorders>
            <w:tcMar>
              <w:top w:w="75" w:type="dxa"/>
              <w:left w:w="120" w:type="dxa"/>
              <w:bottom w:w="75" w:type="dxa"/>
              <w:right w:w="120" w:type="dxa"/>
            </w:tcMar>
          </w:tcPr>
          <w:p w14:paraId="6168F2EF" w14:textId="61A04288" w:rsidR="009E293B" w:rsidRDefault="009E293B">
            <w:pPr>
              <w:spacing w:after="0"/>
              <w:ind w:left="240"/>
            </w:pPr>
            <w:r>
              <w:rPr>
                <w:rFonts w:ascii="Cambria" w:hAnsi="Cambria"/>
                <w:color w:val="000000"/>
              </w:rPr>
              <w:t>.533***</w:t>
            </w:r>
          </w:p>
        </w:tc>
        <w:tc>
          <w:tcPr>
            <w:tcW w:w="1477" w:type="dxa"/>
            <w:tcBorders>
              <w:top w:val="single" w:sz="8" w:space="0" w:color="C1C7CD"/>
              <w:left w:val="single" w:sz="8" w:space="0" w:color="C1C7CD"/>
            </w:tcBorders>
            <w:tcMar>
              <w:top w:w="75" w:type="dxa"/>
              <w:left w:w="120" w:type="dxa"/>
              <w:bottom w:w="75" w:type="dxa"/>
              <w:right w:w="120" w:type="dxa"/>
            </w:tcMar>
          </w:tcPr>
          <w:p w14:paraId="123CA7FF" w14:textId="5EE27907" w:rsidR="009E293B" w:rsidRDefault="009E293B">
            <w:pPr>
              <w:spacing w:after="0"/>
              <w:ind w:left="240"/>
            </w:pPr>
            <w:r>
              <w:rPr>
                <w:rFonts w:ascii="Cambria" w:hAnsi="Cambria"/>
                <w:color w:val="000000"/>
              </w:rPr>
              <w:t>.872***</w:t>
            </w:r>
          </w:p>
        </w:tc>
        <w:tc>
          <w:tcPr>
            <w:tcW w:w="1567" w:type="dxa"/>
            <w:tcBorders>
              <w:top w:val="single" w:sz="8" w:space="0" w:color="C1C7CD"/>
              <w:left w:val="single" w:sz="8" w:space="0" w:color="C1C7CD"/>
            </w:tcBorders>
            <w:tcMar>
              <w:top w:w="75" w:type="dxa"/>
              <w:left w:w="120" w:type="dxa"/>
              <w:bottom w:w="75" w:type="dxa"/>
              <w:right w:w="120" w:type="dxa"/>
            </w:tcMar>
          </w:tcPr>
          <w:p w14:paraId="3C05AE10" w14:textId="4780760D" w:rsidR="009E293B" w:rsidRDefault="009E293B">
            <w:pPr>
              <w:spacing w:after="0"/>
              <w:ind w:left="240"/>
            </w:pPr>
            <w:r>
              <w:rPr>
                <w:rFonts w:ascii="Cambria" w:hAnsi="Cambria"/>
                <w:color w:val="000000"/>
              </w:rPr>
              <w:t>.458*</w:t>
            </w:r>
          </w:p>
        </w:tc>
      </w:tr>
      <w:tr w:rsidR="009E293B" w14:paraId="52AD4CCD"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6BF320AF" w14:textId="77777777" w:rsidR="009E293B" w:rsidRDefault="009E293B">
            <w:pPr>
              <w:spacing w:after="0"/>
              <w:ind w:left="240"/>
            </w:pPr>
            <w:r>
              <w:rPr>
                <w:rFonts w:ascii="Cambria" w:hAnsi="Cambria"/>
                <w:color w:val="000000"/>
              </w:rPr>
              <w:t>Age in G9</w:t>
            </w:r>
          </w:p>
        </w:tc>
        <w:tc>
          <w:tcPr>
            <w:tcW w:w="1668" w:type="dxa"/>
            <w:tcBorders>
              <w:top w:val="single" w:sz="8" w:space="0" w:color="C1C7CD"/>
              <w:left w:val="single" w:sz="8" w:space="0" w:color="C1C7CD"/>
            </w:tcBorders>
            <w:tcMar>
              <w:top w:w="75" w:type="dxa"/>
              <w:left w:w="120" w:type="dxa"/>
              <w:bottom w:w="75" w:type="dxa"/>
              <w:right w:w="120" w:type="dxa"/>
            </w:tcMar>
          </w:tcPr>
          <w:p w14:paraId="6939DC3F" w14:textId="77777777" w:rsidR="009E293B" w:rsidRDefault="009E293B">
            <w:pPr>
              <w:spacing w:after="0"/>
              <w:ind w:left="240"/>
            </w:pPr>
            <w:r>
              <w:rPr>
                <w:rFonts w:ascii="Cambria" w:hAnsi="Cambria"/>
                <w:color w:val="000000"/>
              </w:rPr>
              <w:t>14.01</w:t>
            </w:r>
          </w:p>
        </w:tc>
        <w:tc>
          <w:tcPr>
            <w:tcW w:w="1528" w:type="dxa"/>
            <w:tcBorders>
              <w:top w:val="single" w:sz="8" w:space="0" w:color="C1C7CD"/>
              <w:left w:val="single" w:sz="8" w:space="0" w:color="C1C7CD"/>
            </w:tcBorders>
            <w:tcMar>
              <w:top w:w="75" w:type="dxa"/>
              <w:left w:w="120" w:type="dxa"/>
              <w:bottom w:w="75" w:type="dxa"/>
              <w:right w:w="120" w:type="dxa"/>
            </w:tcMar>
          </w:tcPr>
          <w:p w14:paraId="6BC354B2" w14:textId="1AE927AF" w:rsidR="009E293B" w:rsidRDefault="009E293B">
            <w:pPr>
              <w:spacing w:after="0"/>
              <w:ind w:left="240"/>
            </w:pPr>
            <w:r>
              <w:rPr>
                <w:rFonts w:ascii="Cambria" w:hAnsi="Cambria"/>
                <w:color w:val="000000"/>
              </w:rPr>
              <w:t>13.99</w:t>
            </w:r>
          </w:p>
        </w:tc>
        <w:tc>
          <w:tcPr>
            <w:tcW w:w="1673" w:type="dxa"/>
            <w:tcBorders>
              <w:top w:val="single" w:sz="8" w:space="0" w:color="C1C7CD"/>
              <w:left w:val="single" w:sz="8" w:space="0" w:color="C1C7CD"/>
            </w:tcBorders>
            <w:tcMar>
              <w:top w:w="75" w:type="dxa"/>
              <w:left w:w="120" w:type="dxa"/>
              <w:bottom w:w="75" w:type="dxa"/>
              <w:right w:w="120" w:type="dxa"/>
            </w:tcMar>
          </w:tcPr>
          <w:p w14:paraId="3F951B83" w14:textId="3319A577" w:rsidR="009E293B" w:rsidRDefault="009E293B">
            <w:pPr>
              <w:spacing w:after="0"/>
              <w:ind w:left="240"/>
            </w:pPr>
            <w:r>
              <w:rPr>
                <w:rFonts w:ascii="Cambria" w:hAnsi="Cambria"/>
                <w:color w:val="000000"/>
              </w:rPr>
              <w:t>14.01</w:t>
            </w:r>
          </w:p>
        </w:tc>
        <w:tc>
          <w:tcPr>
            <w:tcW w:w="1594" w:type="dxa"/>
            <w:tcBorders>
              <w:top w:val="single" w:sz="8" w:space="0" w:color="C1C7CD"/>
              <w:left w:val="single" w:sz="8" w:space="0" w:color="C1C7CD"/>
            </w:tcBorders>
            <w:tcMar>
              <w:top w:w="75" w:type="dxa"/>
              <w:left w:w="120" w:type="dxa"/>
              <w:bottom w:w="75" w:type="dxa"/>
              <w:right w:w="120" w:type="dxa"/>
            </w:tcMar>
          </w:tcPr>
          <w:p w14:paraId="564D4B54" w14:textId="77777777" w:rsidR="009E293B" w:rsidRDefault="009E293B">
            <w:pPr>
              <w:spacing w:after="0"/>
              <w:ind w:left="240"/>
            </w:pPr>
            <w:r>
              <w:rPr>
                <w:rFonts w:ascii="Cambria" w:hAnsi="Cambria"/>
                <w:color w:val="000000"/>
              </w:rPr>
              <w:t>14.0</w:t>
            </w:r>
          </w:p>
        </w:tc>
        <w:tc>
          <w:tcPr>
            <w:tcW w:w="1477" w:type="dxa"/>
            <w:tcBorders>
              <w:top w:val="single" w:sz="8" w:space="0" w:color="C1C7CD"/>
              <w:left w:val="single" w:sz="8" w:space="0" w:color="C1C7CD"/>
            </w:tcBorders>
            <w:tcMar>
              <w:top w:w="75" w:type="dxa"/>
              <w:left w:w="120" w:type="dxa"/>
              <w:bottom w:w="75" w:type="dxa"/>
              <w:right w:w="120" w:type="dxa"/>
            </w:tcMar>
          </w:tcPr>
          <w:p w14:paraId="6E4FAE14" w14:textId="77777777" w:rsidR="009E293B" w:rsidRDefault="009E293B">
            <w:pPr>
              <w:spacing w:after="0"/>
              <w:ind w:left="240"/>
            </w:pPr>
            <w:r>
              <w:rPr>
                <w:rFonts w:ascii="Cambria" w:hAnsi="Cambria"/>
                <w:color w:val="000000"/>
              </w:rPr>
              <w:t>14.0</w:t>
            </w:r>
          </w:p>
        </w:tc>
        <w:tc>
          <w:tcPr>
            <w:tcW w:w="1567" w:type="dxa"/>
            <w:tcBorders>
              <w:top w:val="single" w:sz="8" w:space="0" w:color="C1C7CD"/>
              <w:left w:val="single" w:sz="8" w:space="0" w:color="C1C7CD"/>
            </w:tcBorders>
            <w:tcMar>
              <w:top w:w="75" w:type="dxa"/>
              <w:left w:w="120" w:type="dxa"/>
              <w:bottom w:w="75" w:type="dxa"/>
              <w:right w:w="120" w:type="dxa"/>
            </w:tcMar>
          </w:tcPr>
          <w:p w14:paraId="01D629EF" w14:textId="77777777" w:rsidR="009E293B" w:rsidRDefault="009E293B">
            <w:pPr>
              <w:spacing w:after="0"/>
              <w:ind w:left="240"/>
            </w:pPr>
            <w:r>
              <w:rPr>
                <w:rFonts w:ascii="Cambria" w:hAnsi="Cambria"/>
                <w:color w:val="000000"/>
              </w:rPr>
              <w:t>14.0</w:t>
            </w:r>
          </w:p>
        </w:tc>
      </w:tr>
      <w:tr w:rsidR="009E293B" w14:paraId="4B6B182E"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5D68489C" w14:textId="77777777" w:rsidR="009E293B" w:rsidRDefault="009E293B">
            <w:pPr>
              <w:spacing w:after="0"/>
              <w:ind w:left="240"/>
            </w:pPr>
            <w:r>
              <w:rPr>
                <w:rFonts w:ascii="Cambria" w:hAnsi="Cambria"/>
                <w:color w:val="000000"/>
              </w:rPr>
              <w:t>White</w:t>
            </w:r>
          </w:p>
        </w:tc>
        <w:tc>
          <w:tcPr>
            <w:tcW w:w="1668" w:type="dxa"/>
            <w:tcBorders>
              <w:top w:val="single" w:sz="8" w:space="0" w:color="C1C7CD"/>
              <w:left w:val="single" w:sz="8" w:space="0" w:color="C1C7CD"/>
            </w:tcBorders>
            <w:tcMar>
              <w:top w:w="75" w:type="dxa"/>
              <w:left w:w="120" w:type="dxa"/>
              <w:bottom w:w="75" w:type="dxa"/>
              <w:right w:w="120" w:type="dxa"/>
            </w:tcMar>
          </w:tcPr>
          <w:p w14:paraId="04B67758" w14:textId="35B7EFDF" w:rsidR="009E293B" w:rsidRDefault="009E293B">
            <w:pPr>
              <w:spacing w:after="0"/>
              <w:ind w:left="240"/>
            </w:pPr>
            <w:r>
              <w:rPr>
                <w:rFonts w:ascii="Cambria" w:hAnsi="Cambria"/>
                <w:color w:val="000000"/>
              </w:rPr>
              <w:t>.240</w:t>
            </w:r>
          </w:p>
        </w:tc>
        <w:tc>
          <w:tcPr>
            <w:tcW w:w="1528" w:type="dxa"/>
            <w:tcBorders>
              <w:top w:val="single" w:sz="8" w:space="0" w:color="C1C7CD"/>
              <w:left w:val="single" w:sz="8" w:space="0" w:color="C1C7CD"/>
            </w:tcBorders>
            <w:tcMar>
              <w:top w:w="75" w:type="dxa"/>
              <w:left w:w="120" w:type="dxa"/>
              <w:bottom w:w="75" w:type="dxa"/>
              <w:right w:w="120" w:type="dxa"/>
            </w:tcMar>
          </w:tcPr>
          <w:p w14:paraId="670D294F" w14:textId="04D0046A" w:rsidR="009E293B" w:rsidRDefault="009E293B">
            <w:pPr>
              <w:spacing w:after="0"/>
              <w:ind w:left="240"/>
            </w:pPr>
            <w:r>
              <w:rPr>
                <w:rFonts w:ascii="Cambria" w:hAnsi="Cambria"/>
                <w:color w:val="000000"/>
              </w:rPr>
              <w:t>.549***</w:t>
            </w:r>
          </w:p>
        </w:tc>
        <w:tc>
          <w:tcPr>
            <w:tcW w:w="1673" w:type="dxa"/>
            <w:tcBorders>
              <w:top w:val="single" w:sz="8" w:space="0" w:color="C1C7CD"/>
              <w:left w:val="single" w:sz="8" w:space="0" w:color="C1C7CD"/>
            </w:tcBorders>
            <w:tcMar>
              <w:top w:w="75" w:type="dxa"/>
              <w:left w:w="120" w:type="dxa"/>
              <w:bottom w:w="75" w:type="dxa"/>
              <w:right w:w="120" w:type="dxa"/>
            </w:tcMar>
          </w:tcPr>
          <w:p w14:paraId="7EF69A55" w14:textId="77A451DB" w:rsidR="009E293B" w:rsidRDefault="009E293B">
            <w:pPr>
              <w:spacing w:after="0"/>
              <w:ind w:left="240"/>
            </w:pPr>
            <w:r>
              <w:rPr>
                <w:rFonts w:ascii="Cambria" w:hAnsi="Cambria"/>
                <w:color w:val="000000"/>
              </w:rPr>
              <w:t>.500***</w:t>
            </w:r>
          </w:p>
        </w:tc>
        <w:tc>
          <w:tcPr>
            <w:tcW w:w="1594" w:type="dxa"/>
            <w:tcBorders>
              <w:top w:val="single" w:sz="8" w:space="0" w:color="C1C7CD"/>
              <w:left w:val="single" w:sz="8" w:space="0" w:color="C1C7CD"/>
            </w:tcBorders>
            <w:tcMar>
              <w:top w:w="75" w:type="dxa"/>
              <w:left w:w="120" w:type="dxa"/>
              <w:bottom w:w="75" w:type="dxa"/>
              <w:right w:w="120" w:type="dxa"/>
            </w:tcMar>
          </w:tcPr>
          <w:p w14:paraId="558B9887" w14:textId="44FCFF7A" w:rsidR="009E293B" w:rsidRDefault="009E293B">
            <w:pPr>
              <w:spacing w:after="0"/>
              <w:ind w:left="240"/>
            </w:pPr>
            <w:r>
              <w:rPr>
                <w:rFonts w:ascii="Cambria" w:hAnsi="Cambria"/>
                <w:color w:val="000000"/>
              </w:rPr>
              <w:t>.519***</w:t>
            </w:r>
          </w:p>
        </w:tc>
        <w:tc>
          <w:tcPr>
            <w:tcW w:w="1477" w:type="dxa"/>
            <w:tcBorders>
              <w:top w:val="single" w:sz="8" w:space="0" w:color="C1C7CD"/>
              <w:left w:val="single" w:sz="8" w:space="0" w:color="C1C7CD"/>
            </w:tcBorders>
            <w:tcMar>
              <w:top w:w="75" w:type="dxa"/>
              <w:left w:w="120" w:type="dxa"/>
              <w:bottom w:w="75" w:type="dxa"/>
              <w:right w:w="120" w:type="dxa"/>
            </w:tcMar>
          </w:tcPr>
          <w:p w14:paraId="67675160" w14:textId="5F199146" w:rsidR="009E293B" w:rsidRDefault="009E293B">
            <w:pPr>
              <w:spacing w:after="0"/>
              <w:ind w:left="240"/>
            </w:pPr>
            <w:r>
              <w:rPr>
                <w:rFonts w:ascii="Cambria" w:hAnsi="Cambria"/>
                <w:color w:val="000000"/>
              </w:rPr>
              <w:t>.828***</w:t>
            </w:r>
          </w:p>
        </w:tc>
        <w:tc>
          <w:tcPr>
            <w:tcW w:w="1567" w:type="dxa"/>
            <w:tcBorders>
              <w:top w:val="single" w:sz="8" w:space="0" w:color="C1C7CD"/>
              <w:left w:val="single" w:sz="8" w:space="0" w:color="C1C7CD"/>
            </w:tcBorders>
            <w:tcMar>
              <w:top w:w="75" w:type="dxa"/>
              <w:left w:w="120" w:type="dxa"/>
              <w:bottom w:w="75" w:type="dxa"/>
              <w:right w:w="120" w:type="dxa"/>
            </w:tcMar>
          </w:tcPr>
          <w:p w14:paraId="01A9C405" w14:textId="41D25E1A" w:rsidR="009E293B" w:rsidRDefault="009E293B">
            <w:pPr>
              <w:spacing w:after="0"/>
              <w:ind w:left="240"/>
            </w:pPr>
            <w:r>
              <w:rPr>
                <w:rFonts w:ascii="Cambria" w:hAnsi="Cambria"/>
                <w:color w:val="000000"/>
              </w:rPr>
              <w:t>.429</w:t>
            </w:r>
          </w:p>
        </w:tc>
      </w:tr>
      <w:tr w:rsidR="009E293B" w14:paraId="0F2ECC79"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668B86CF" w14:textId="77777777" w:rsidR="009E293B" w:rsidRDefault="009E293B">
            <w:pPr>
              <w:spacing w:after="0"/>
              <w:ind w:left="240"/>
            </w:pPr>
            <w:r>
              <w:rPr>
                <w:rFonts w:ascii="Cambria" w:hAnsi="Cambria"/>
                <w:color w:val="000000"/>
              </w:rPr>
              <w:t>Pro Parent</w:t>
            </w:r>
          </w:p>
        </w:tc>
        <w:tc>
          <w:tcPr>
            <w:tcW w:w="1668" w:type="dxa"/>
            <w:tcBorders>
              <w:top w:val="single" w:sz="8" w:space="0" w:color="C1C7CD"/>
              <w:left w:val="single" w:sz="8" w:space="0" w:color="C1C7CD"/>
            </w:tcBorders>
            <w:tcMar>
              <w:top w:w="75" w:type="dxa"/>
              <w:left w:w="120" w:type="dxa"/>
              <w:bottom w:w="75" w:type="dxa"/>
              <w:right w:w="120" w:type="dxa"/>
            </w:tcMar>
          </w:tcPr>
          <w:p w14:paraId="11BF94D5" w14:textId="71A6494C" w:rsidR="009E293B" w:rsidRDefault="009E293B">
            <w:pPr>
              <w:spacing w:after="0"/>
              <w:ind w:left="240"/>
            </w:pPr>
            <w:r>
              <w:rPr>
                <w:rFonts w:ascii="Cambria" w:hAnsi="Cambria"/>
                <w:color w:val="000000"/>
              </w:rPr>
              <w:t>.344</w:t>
            </w:r>
          </w:p>
        </w:tc>
        <w:tc>
          <w:tcPr>
            <w:tcW w:w="1528" w:type="dxa"/>
            <w:tcBorders>
              <w:top w:val="single" w:sz="8" w:space="0" w:color="C1C7CD"/>
              <w:left w:val="single" w:sz="8" w:space="0" w:color="C1C7CD"/>
            </w:tcBorders>
            <w:tcMar>
              <w:top w:w="75" w:type="dxa"/>
              <w:left w:w="120" w:type="dxa"/>
              <w:bottom w:w="75" w:type="dxa"/>
              <w:right w:w="120" w:type="dxa"/>
            </w:tcMar>
          </w:tcPr>
          <w:p w14:paraId="7DBD7CDA" w14:textId="4C23D2C9" w:rsidR="009E293B" w:rsidRDefault="009E293B">
            <w:pPr>
              <w:spacing w:after="0"/>
              <w:ind w:left="240"/>
            </w:pPr>
            <w:r>
              <w:rPr>
                <w:rFonts w:ascii="Cambria" w:hAnsi="Cambria"/>
                <w:color w:val="000000"/>
              </w:rPr>
              <w:t>.435*</w:t>
            </w:r>
          </w:p>
        </w:tc>
        <w:tc>
          <w:tcPr>
            <w:tcW w:w="1673" w:type="dxa"/>
            <w:tcBorders>
              <w:top w:val="single" w:sz="8" w:space="0" w:color="C1C7CD"/>
              <w:left w:val="single" w:sz="8" w:space="0" w:color="C1C7CD"/>
            </w:tcBorders>
            <w:tcMar>
              <w:top w:w="75" w:type="dxa"/>
              <w:left w:w="120" w:type="dxa"/>
              <w:bottom w:w="75" w:type="dxa"/>
              <w:right w:w="120" w:type="dxa"/>
            </w:tcMar>
          </w:tcPr>
          <w:p w14:paraId="696BB05A" w14:textId="50ADC5E8" w:rsidR="009E293B" w:rsidRDefault="009E293B">
            <w:pPr>
              <w:spacing w:after="0"/>
              <w:ind w:left="240"/>
            </w:pPr>
            <w:r>
              <w:rPr>
                <w:rFonts w:ascii="Cambria" w:hAnsi="Cambria"/>
                <w:color w:val="000000"/>
              </w:rPr>
              <w:t>.344</w:t>
            </w:r>
          </w:p>
        </w:tc>
        <w:tc>
          <w:tcPr>
            <w:tcW w:w="1594" w:type="dxa"/>
            <w:tcBorders>
              <w:top w:val="single" w:sz="8" w:space="0" w:color="C1C7CD"/>
              <w:left w:val="single" w:sz="8" w:space="0" w:color="C1C7CD"/>
            </w:tcBorders>
            <w:tcMar>
              <w:top w:w="75" w:type="dxa"/>
              <w:left w:w="120" w:type="dxa"/>
              <w:bottom w:w="75" w:type="dxa"/>
              <w:right w:w="120" w:type="dxa"/>
            </w:tcMar>
          </w:tcPr>
          <w:p w14:paraId="635961F5" w14:textId="4974FAA2" w:rsidR="009E293B" w:rsidRDefault="009E293B">
            <w:pPr>
              <w:spacing w:after="0"/>
              <w:ind w:left="240"/>
            </w:pPr>
            <w:r>
              <w:rPr>
                <w:rFonts w:ascii="Cambria" w:hAnsi="Cambria"/>
                <w:color w:val="000000"/>
              </w:rPr>
              <w:t>.341</w:t>
            </w:r>
          </w:p>
        </w:tc>
        <w:tc>
          <w:tcPr>
            <w:tcW w:w="1477" w:type="dxa"/>
            <w:tcBorders>
              <w:top w:val="single" w:sz="8" w:space="0" w:color="C1C7CD"/>
              <w:left w:val="single" w:sz="8" w:space="0" w:color="C1C7CD"/>
            </w:tcBorders>
            <w:tcMar>
              <w:top w:w="75" w:type="dxa"/>
              <w:left w:w="120" w:type="dxa"/>
              <w:bottom w:w="75" w:type="dxa"/>
              <w:right w:w="120" w:type="dxa"/>
            </w:tcMar>
          </w:tcPr>
          <w:p w14:paraId="770FD81B" w14:textId="0C61F0EC" w:rsidR="009E293B" w:rsidRDefault="009E293B">
            <w:pPr>
              <w:spacing w:after="0"/>
              <w:ind w:left="240"/>
            </w:pPr>
            <w:r>
              <w:rPr>
                <w:rFonts w:ascii="Cambria" w:hAnsi="Cambria"/>
                <w:color w:val="000000"/>
              </w:rPr>
              <w:t>.793*</w:t>
            </w:r>
          </w:p>
        </w:tc>
        <w:tc>
          <w:tcPr>
            <w:tcW w:w="1567" w:type="dxa"/>
            <w:tcBorders>
              <w:top w:val="single" w:sz="8" w:space="0" w:color="C1C7CD"/>
              <w:left w:val="single" w:sz="8" w:space="0" w:color="C1C7CD"/>
            </w:tcBorders>
            <w:tcMar>
              <w:top w:w="75" w:type="dxa"/>
              <w:left w:w="120" w:type="dxa"/>
              <w:bottom w:w="75" w:type="dxa"/>
              <w:right w:w="120" w:type="dxa"/>
            </w:tcMar>
          </w:tcPr>
          <w:p w14:paraId="35E2776D" w14:textId="52F097EC" w:rsidR="009E293B" w:rsidRDefault="009E293B">
            <w:pPr>
              <w:spacing w:after="0"/>
              <w:ind w:left="240"/>
            </w:pPr>
            <w:r>
              <w:rPr>
                <w:rFonts w:ascii="Cambria" w:hAnsi="Cambria"/>
                <w:color w:val="000000"/>
              </w:rPr>
              <w:t>.800*</w:t>
            </w:r>
          </w:p>
        </w:tc>
      </w:tr>
      <w:tr w:rsidR="009E293B" w14:paraId="25F24828"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1166EF7D" w14:textId="77777777" w:rsidR="009E293B" w:rsidRDefault="009E293B">
            <w:pPr>
              <w:spacing w:after="0"/>
              <w:ind w:left="240"/>
            </w:pPr>
            <w:r>
              <w:rPr>
                <w:rFonts w:ascii="Cambria" w:hAnsi="Cambria"/>
                <w:color w:val="000000"/>
              </w:rPr>
              <w:t>Parent with Univ</w:t>
            </w:r>
          </w:p>
        </w:tc>
        <w:tc>
          <w:tcPr>
            <w:tcW w:w="1668" w:type="dxa"/>
            <w:tcBorders>
              <w:top w:val="single" w:sz="8" w:space="0" w:color="C1C7CD"/>
              <w:left w:val="single" w:sz="8" w:space="0" w:color="C1C7CD"/>
            </w:tcBorders>
            <w:tcMar>
              <w:top w:w="75" w:type="dxa"/>
              <w:left w:w="120" w:type="dxa"/>
              <w:bottom w:w="75" w:type="dxa"/>
              <w:right w:w="120" w:type="dxa"/>
            </w:tcMar>
          </w:tcPr>
          <w:p w14:paraId="34FE445C" w14:textId="64D68FEF" w:rsidR="009E293B" w:rsidRDefault="009E293B">
            <w:pPr>
              <w:spacing w:after="0"/>
              <w:ind w:left="240"/>
            </w:pPr>
            <w:r>
              <w:rPr>
                <w:rFonts w:ascii="Cambria" w:hAnsi="Cambria"/>
                <w:color w:val="000000"/>
              </w:rPr>
              <w:t>.590</w:t>
            </w:r>
          </w:p>
        </w:tc>
        <w:tc>
          <w:tcPr>
            <w:tcW w:w="1528" w:type="dxa"/>
            <w:tcBorders>
              <w:top w:val="single" w:sz="8" w:space="0" w:color="C1C7CD"/>
              <w:left w:val="single" w:sz="8" w:space="0" w:color="C1C7CD"/>
            </w:tcBorders>
            <w:tcMar>
              <w:top w:w="75" w:type="dxa"/>
              <w:left w:w="120" w:type="dxa"/>
              <w:bottom w:w="75" w:type="dxa"/>
              <w:right w:w="120" w:type="dxa"/>
            </w:tcMar>
          </w:tcPr>
          <w:p w14:paraId="19914EDF" w14:textId="30758ABF" w:rsidR="009E293B" w:rsidRDefault="009E293B">
            <w:pPr>
              <w:spacing w:after="0"/>
              <w:ind w:left="240"/>
            </w:pPr>
            <w:r>
              <w:rPr>
                <w:rFonts w:ascii="Cambria" w:hAnsi="Cambria"/>
                <w:color w:val="000000"/>
              </w:rPr>
              <w:t>.605</w:t>
            </w:r>
          </w:p>
        </w:tc>
        <w:tc>
          <w:tcPr>
            <w:tcW w:w="1673" w:type="dxa"/>
            <w:tcBorders>
              <w:top w:val="single" w:sz="8" w:space="0" w:color="C1C7CD"/>
              <w:left w:val="single" w:sz="8" w:space="0" w:color="C1C7CD"/>
            </w:tcBorders>
            <w:tcMar>
              <w:top w:w="75" w:type="dxa"/>
              <w:left w:w="120" w:type="dxa"/>
              <w:bottom w:w="75" w:type="dxa"/>
              <w:right w:w="120" w:type="dxa"/>
            </w:tcMar>
          </w:tcPr>
          <w:p w14:paraId="768B857E" w14:textId="0B01921C" w:rsidR="009E293B" w:rsidRDefault="009E293B">
            <w:pPr>
              <w:spacing w:after="0"/>
              <w:ind w:left="240"/>
            </w:pPr>
            <w:r>
              <w:rPr>
                <w:rFonts w:ascii="Cambria" w:hAnsi="Cambria"/>
                <w:color w:val="000000"/>
              </w:rPr>
              <w:t>.658</w:t>
            </w:r>
          </w:p>
        </w:tc>
        <w:tc>
          <w:tcPr>
            <w:tcW w:w="1594" w:type="dxa"/>
            <w:tcBorders>
              <w:top w:val="single" w:sz="8" w:space="0" w:color="C1C7CD"/>
              <w:left w:val="single" w:sz="8" w:space="0" w:color="C1C7CD"/>
            </w:tcBorders>
            <w:tcMar>
              <w:top w:w="75" w:type="dxa"/>
              <w:left w:w="120" w:type="dxa"/>
              <w:bottom w:w="75" w:type="dxa"/>
              <w:right w:w="120" w:type="dxa"/>
            </w:tcMar>
          </w:tcPr>
          <w:p w14:paraId="618D33B9" w14:textId="38ED1EFE" w:rsidR="009E293B" w:rsidRDefault="009E293B">
            <w:pPr>
              <w:spacing w:after="0"/>
              <w:ind w:left="240"/>
            </w:pPr>
            <w:r>
              <w:rPr>
                <w:rFonts w:ascii="Cambria" w:hAnsi="Cambria"/>
                <w:color w:val="000000"/>
              </w:rPr>
              <w:t>.442*</w:t>
            </w:r>
          </w:p>
        </w:tc>
        <w:tc>
          <w:tcPr>
            <w:tcW w:w="1477" w:type="dxa"/>
            <w:tcBorders>
              <w:top w:val="single" w:sz="8" w:space="0" w:color="C1C7CD"/>
              <w:left w:val="single" w:sz="8" w:space="0" w:color="C1C7CD"/>
            </w:tcBorders>
            <w:tcMar>
              <w:top w:w="75" w:type="dxa"/>
              <w:left w:w="120" w:type="dxa"/>
              <w:bottom w:w="75" w:type="dxa"/>
              <w:right w:w="120" w:type="dxa"/>
            </w:tcMar>
          </w:tcPr>
          <w:p w14:paraId="01063147" w14:textId="77777777" w:rsidR="009E293B" w:rsidRDefault="009E293B">
            <w:pPr>
              <w:spacing w:after="0"/>
              <w:ind w:left="240"/>
            </w:pPr>
            <w:r>
              <w:rPr>
                <w:rFonts w:ascii="Cambria" w:hAnsi="Cambria"/>
                <w:color w:val="000000"/>
              </w:rPr>
              <w:t>.871***</w:t>
            </w:r>
          </w:p>
        </w:tc>
        <w:tc>
          <w:tcPr>
            <w:tcW w:w="1567" w:type="dxa"/>
            <w:tcBorders>
              <w:top w:val="single" w:sz="8" w:space="0" w:color="C1C7CD"/>
              <w:left w:val="single" w:sz="8" w:space="0" w:color="C1C7CD"/>
            </w:tcBorders>
            <w:tcMar>
              <w:top w:w="75" w:type="dxa"/>
              <w:left w:w="120" w:type="dxa"/>
              <w:bottom w:w="75" w:type="dxa"/>
              <w:right w:w="120" w:type="dxa"/>
            </w:tcMar>
          </w:tcPr>
          <w:p w14:paraId="659D27F0" w14:textId="625AB998" w:rsidR="009E293B" w:rsidRDefault="009E293B">
            <w:pPr>
              <w:spacing w:after="0"/>
              <w:ind w:left="240"/>
            </w:pPr>
            <w:r>
              <w:rPr>
                <w:rFonts w:ascii="Cambria" w:hAnsi="Cambria"/>
                <w:color w:val="000000"/>
              </w:rPr>
              <w:t>.571</w:t>
            </w:r>
          </w:p>
        </w:tc>
      </w:tr>
      <w:tr w:rsidR="009E293B" w14:paraId="731721DE"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5AC6FF18" w14:textId="77777777" w:rsidR="009E293B" w:rsidRDefault="009E293B">
            <w:pPr>
              <w:spacing w:after="0"/>
              <w:ind w:left="240"/>
            </w:pPr>
            <w:r>
              <w:rPr>
                <w:rFonts w:ascii="Cambria" w:hAnsi="Cambria"/>
                <w:color w:val="000000"/>
              </w:rPr>
              <w:t>2 Parent Family</w:t>
            </w:r>
          </w:p>
        </w:tc>
        <w:tc>
          <w:tcPr>
            <w:tcW w:w="1668" w:type="dxa"/>
            <w:tcBorders>
              <w:top w:val="single" w:sz="8" w:space="0" w:color="C1C7CD"/>
              <w:left w:val="single" w:sz="8" w:space="0" w:color="C1C7CD"/>
            </w:tcBorders>
            <w:tcMar>
              <w:top w:w="75" w:type="dxa"/>
              <w:left w:w="120" w:type="dxa"/>
              <w:bottom w:w="75" w:type="dxa"/>
              <w:right w:w="120" w:type="dxa"/>
            </w:tcMar>
          </w:tcPr>
          <w:p w14:paraId="1F353062" w14:textId="161BE647" w:rsidR="009E293B" w:rsidRDefault="009E293B">
            <w:pPr>
              <w:spacing w:after="0"/>
              <w:ind w:left="240"/>
            </w:pPr>
            <w:r>
              <w:rPr>
                <w:rFonts w:ascii="Cambria" w:hAnsi="Cambria"/>
                <w:color w:val="000000"/>
              </w:rPr>
              <w:t>.827</w:t>
            </w:r>
          </w:p>
        </w:tc>
        <w:tc>
          <w:tcPr>
            <w:tcW w:w="1528" w:type="dxa"/>
            <w:tcBorders>
              <w:top w:val="single" w:sz="8" w:space="0" w:color="C1C7CD"/>
              <w:left w:val="single" w:sz="8" w:space="0" w:color="C1C7CD"/>
            </w:tcBorders>
            <w:tcMar>
              <w:top w:w="75" w:type="dxa"/>
              <w:left w:w="120" w:type="dxa"/>
              <w:bottom w:w="75" w:type="dxa"/>
              <w:right w:w="120" w:type="dxa"/>
            </w:tcMar>
          </w:tcPr>
          <w:p w14:paraId="568DF252" w14:textId="6AD5DC47" w:rsidR="009E293B" w:rsidRDefault="009E293B">
            <w:pPr>
              <w:spacing w:after="0"/>
              <w:ind w:left="240"/>
            </w:pPr>
            <w:r>
              <w:rPr>
                <w:rFonts w:ascii="Cambria" w:hAnsi="Cambria"/>
                <w:color w:val="000000"/>
              </w:rPr>
              <w:t>.766*</w:t>
            </w:r>
          </w:p>
        </w:tc>
        <w:tc>
          <w:tcPr>
            <w:tcW w:w="1673" w:type="dxa"/>
            <w:tcBorders>
              <w:top w:val="single" w:sz="8" w:space="0" w:color="C1C7CD"/>
              <w:left w:val="single" w:sz="8" w:space="0" w:color="C1C7CD"/>
            </w:tcBorders>
            <w:tcMar>
              <w:top w:w="75" w:type="dxa"/>
              <w:left w:w="120" w:type="dxa"/>
              <w:bottom w:w="75" w:type="dxa"/>
              <w:right w:w="120" w:type="dxa"/>
            </w:tcMar>
          </w:tcPr>
          <w:p w14:paraId="1E962203" w14:textId="2BDC9588" w:rsidR="009E293B" w:rsidRDefault="009E293B">
            <w:pPr>
              <w:spacing w:after="0"/>
              <w:ind w:left="240"/>
            </w:pPr>
            <w:r>
              <w:rPr>
                <w:rFonts w:ascii="Cambria" w:hAnsi="Cambria"/>
                <w:color w:val="000000"/>
              </w:rPr>
              <w:t>.848</w:t>
            </w:r>
          </w:p>
        </w:tc>
        <w:tc>
          <w:tcPr>
            <w:tcW w:w="1594" w:type="dxa"/>
            <w:tcBorders>
              <w:top w:val="single" w:sz="8" w:space="0" w:color="C1C7CD"/>
              <w:left w:val="single" w:sz="8" w:space="0" w:color="C1C7CD"/>
            </w:tcBorders>
            <w:tcMar>
              <w:top w:w="75" w:type="dxa"/>
              <w:left w:w="120" w:type="dxa"/>
              <w:bottom w:w="75" w:type="dxa"/>
              <w:right w:w="120" w:type="dxa"/>
            </w:tcMar>
          </w:tcPr>
          <w:p w14:paraId="00A387FD" w14:textId="7AF427A6" w:rsidR="009E293B" w:rsidRDefault="009E293B">
            <w:pPr>
              <w:spacing w:after="0"/>
              <w:ind w:left="240"/>
            </w:pPr>
            <w:r>
              <w:rPr>
                <w:rFonts w:ascii="Cambria" w:hAnsi="Cambria"/>
                <w:color w:val="000000"/>
              </w:rPr>
              <w:t>.745</w:t>
            </w:r>
          </w:p>
        </w:tc>
        <w:tc>
          <w:tcPr>
            <w:tcW w:w="1477" w:type="dxa"/>
            <w:tcBorders>
              <w:top w:val="single" w:sz="8" w:space="0" w:color="C1C7CD"/>
              <w:left w:val="single" w:sz="8" w:space="0" w:color="C1C7CD"/>
            </w:tcBorders>
            <w:tcMar>
              <w:top w:w="75" w:type="dxa"/>
              <w:left w:w="120" w:type="dxa"/>
              <w:bottom w:w="75" w:type="dxa"/>
              <w:right w:w="120" w:type="dxa"/>
            </w:tcMar>
          </w:tcPr>
          <w:p w14:paraId="1CA49F8C" w14:textId="2676DEF4" w:rsidR="009E293B" w:rsidRDefault="009E293B">
            <w:pPr>
              <w:spacing w:after="0"/>
              <w:ind w:left="240"/>
            </w:pPr>
            <w:r>
              <w:rPr>
                <w:rFonts w:ascii="Cambria" w:hAnsi="Cambria"/>
                <w:color w:val="000000"/>
              </w:rPr>
              <w:t>.621*</w:t>
            </w:r>
          </w:p>
        </w:tc>
        <w:tc>
          <w:tcPr>
            <w:tcW w:w="1567" w:type="dxa"/>
            <w:tcBorders>
              <w:top w:val="single" w:sz="8" w:space="0" w:color="C1C7CD"/>
              <w:left w:val="single" w:sz="8" w:space="0" w:color="C1C7CD"/>
            </w:tcBorders>
            <w:tcMar>
              <w:top w:w="75" w:type="dxa"/>
              <w:left w:w="120" w:type="dxa"/>
              <w:bottom w:w="75" w:type="dxa"/>
              <w:right w:w="120" w:type="dxa"/>
            </w:tcMar>
          </w:tcPr>
          <w:p w14:paraId="72897EE5" w14:textId="77777777" w:rsidR="009E293B" w:rsidRDefault="009E293B">
            <w:pPr>
              <w:spacing w:after="0"/>
              <w:ind w:left="240"/>
            </w:pPr>
            <w:r>
              <w:rPr>
                <w:rFonts w:ascii="Cambria" w:hAnsi="Cambria"/>
                <w:color w:val="000000"/>
              </w:rPr>
              <w:t>.788*</w:t>
            </w:r>
          </w:p>
        </w:tc>
      </w:tr>
      <w:tr w:rsidR="009E293B" w14:paraId="5F9955A3"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597B2501" w14:textId="77777777" w:rsidR="009E293B" w:rsidRDefault="009E293B">
            <w:pPr>
              <w:spacing w:after="0"/>
              <w:ind w:left="240"/>
            </w:pPr>
            <w:r>
              <w:rPr>
                <w:rFonts w:ascii="Cambria" w:hAnsi="Cambria"/>
                <w:color w:val="000000"/>
              </w:rPr>
              <w:t>Sexual Majority</w:t>
            </w:r>
          </w:p>
        </w:tc>
        <w:tc>
          <w:tcPr>
            <w:tcW w:w="1668" w:type="dxa"/>
            <w:tcBorders>
              <w:top w:val="single" w:sz="8" w:space="0" w:color="C1C7CD"/>
              <w:left w:val="single" w:sz="8" w:space="0" w:color="C1C7CD"/>
            </w:tcBorders>
            <w:tcMar>
              <w:top w:w="75" w:type="dxa"/>
              <w:left w:w="120" w:type="dxa"/>
              <w:bottom w:w="75" w:type="dxa"/>
              <w:right w:w="120" w:type="dxa"/>
            </w:tcMar>
          </w:tcPr>
          <w:p w14:paraId="64476BCE" w14:textId="5C70F0E8" w:rsidR="009E293B" w:rsidRDefault="009E293B">
            <w:pPr>
              <w:spacing w:after="0"/>
              <w:ind w:left="240"/>
            </w:pPr>
            <w:r>
              <w:rPr>
                <w:rFonts w:ascii="Cambria" w:hAnsi="Cambria"/>
                <w:color w:val="000000"/>
              </w:rPr>
              <w:t>.940</w:t>
            </w:r>
          </w:p>
        </w:tc>
        <w:tc>
          <w:tcPr>
            <w:tcW w:w="1528" w:type="dxa"/>
            <w:tcBorders>
              <w:top w:val="single" w:sz="8" w:space="0" w:color="C1C7CD"/>
              <w:left w:val="single" w:sz="8" w:space="0" w:color="C1C7CD"/>
            </w:tcBorders>
            <w:tcMar>
              <w:top w:w="75" w:type="dxa"/>
              <w:left w:w="120" w:type="dxa"/>
              <w:bottom w:w="75" w:type="dxa"/>
              <w:right w:w="120" w:type="dxa"/>
            </w:tcMar>
          </w:tcPr>
          <w:p w14:paraId="22FFB2E0" w14:textId="528F3F49" w:rsidR="009E293B" w:rsidRPr="000831D4" w:rsidRDefault="009E293B">
            <w:pPr>
              <w:spacing w:after="0"/>
              <w:ind w:left="240"/>
            </w:pPr>
            <w:r w:rsidRPr="000831D4">
              <w:rPr>
                <w:rFonts w:ascii="Cambria" w:hAnsi="Cambria"/>
                <w:color w:val="000000"/>
              </w:rPr>
              <w:t>.862***</w:t>
            </w:r>
          </w:p>
        </w:tc>
        <w:tc>
          <w:tcPr>
            <w:tcW w:w="1673" w:type="dxa"/>
            <w:tcBorders>
              <w:top w:val="single" w:sz="8" w:space="0" w:color="C1C7CD"/>
              <w:left w:val="single" w:sz="8" w:space="0" w:color="C1C7CD"/>
            </w:tcBorders>
            <w:tcMar>
              <w:top w:w="75" w:type="dxa"/>
              <w:left w:w="120" w:type="dxa"/>
              <w:bottom w:w="75" w:type="dxa"/>
              <w:right w:w="120" w:type="dxa"/>
            </w:tcMar>
          </w:tcPr>
          <w:p w14:paraId="467E0A93" w14:textId="3B75D4F1" w:rsidR="009E293B" w:rsidRDefault="009E293B">
            <w:pPr>
              <w:spacing w:after="0"/>
              <w:ind w:left="240"/>
            </w:pPr>
            <w:r>
              <w:rPr>
                <w:rFonts w:ascii="Cambria" w:hAnsi="Cambria"/>
                <w:color w:val="000000"/>
              </w:rPr>
              <w:t>.773**</w:t>
            </w:r>
          </w:p>
        </w:tc>
        <w:tc>
          <w:tcPr>
            <w:tcW w:w="1594" w:type="dxa"/>
            <w:tcBorders>
              <w:top w:val="single" w:sz="8" w:space="0" w:color="C1C7CD"/>
              <w:left w:val="single" w:sz="8" w:space="0" w:color="C1C7CD"/>
            </w:tcBorders>
            <w:tcMar>
              <w:top w:w="75" w:type="dxa"/>
              <w:left w:w="120" w:type="dxa"/>
              <w:bottom w:w="75" w:type="dxa"/>
              <w:right w:w="120" w:type="dxa"/>
            </w:tcMar>
          </w:tcPr>
          <w:p w14:paraId="6C688304" w14:textId="77777777" w:rsidR="009E293B" w:rsidRDefault="009E293B">
            <w:pPr>
              <w:spacing w:after="0"/>
              <w:ind w:left="240"/>
            </w:pPr>
            <w:r>
              <w:rPr>
                <w:rFonts w:ascii="Cambria" w:hAnsi="Cambria"/>
                <w:color w:val="000000"/>
              </w:rPr>
              <w:t>.902</w:t>
            </w:r>
          </w:p>
        </w:tc>
        <w:tc>
          <w:tcPr>
            <w:tcW w:w="1477" w:type="dxa"/>
            <w:tcBorders>
              <w:top w:val="single" w:sz="8" w:space="0" w:color="C1C7CD"/>
              <w:left w:val="single" w:sz="8" w:space="0" w:color="C1C7CD"/>
            </w:tcBorders>
            <w:tcMar>
              <w:top w:w="75" w:type="dxa"/>
              <w:left w:w="120" w:type="dxa"/>
              <w:bottom w:w="75" w:type="dxa"/>
              <w:right w:w="120" w:type="dxa"/>
            </w:tcMar>
          </w:tcPr>
          <w:p w14:paraId="00771396" w14:textId="4F1D5C37" w:rsidR="009E293B" w:rsidRDefault="009E293B">
            <w:pPr>
              <w:spacing w:after="0"/>
              <w:ind w:left="240"/>
            </w:pPr>
            <w:r>
              <w:rPr>
                <w:rFonts w:ascii="Cambria" w:hAnsi="Cambria"/>
                <w:color w:val="000000"/>
              </w:rPr>
              <w:t>.958</w:t>
            </w:r>
          </w:p>
        </w:tc>
        <w:tc>
          <w:tcPr>
            <w:tcW w:w="1567" w:type="dxa"/>
            <w:tcBorders>
              <w:top w:val="single" w:sz="8" w:space="0" w:color="C1C7CD"/>
              <w:left w:val="single" w:sz="8" w:space="0" w:color="C1C7CD"/>
            </w:tcBorders>
            <w:tcMar>
              <w:top w:w="75" w:type="dxa"/>
              <w:left w:w="120" w:type="dxa"/>
              <w:bottom w:w="75" w:type="dxa"/>
              <w:right w:w="120" w:type="dxa"/>
            </w:tcMar>
          </w:tcPr>
          <w:p w14:paraId="733720F4" w14:textId="3FB0F009" w:rsidR="009E293B" w:rsidRDefault="009E293B">
            <w:pPr>
              <w:spacing w:after="0"/>
              <w:ind w:left="240"/>
            </w:pPr>
            <w:r>
              <w:t>1.00</w:t>
            </w:r>
          </w:p>
        </w:tc>
      </w:tr>
      <w:tr w:rsidR="009E293B" w14:paraId="30042245"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187730F9" w14:textId="77777777" w:rsidR="009E293B" w:rsidRDefault="009E293B">
            <w:pPr>
              <w:spacing w:after="0"/>
              <w:ind w:left="240"/>
            </w:pPr>
            <w:r>
              <w:rPr>
                <w:rFonts w:ascii="Cambria" w:hAnsi="Cambria"/>
                <w:color w:val="000000"/>
              </w:rPr>
              <w:t>Born in Canada</w:t>
            </w:r>
          </w:p>
        </w:tc>
        <w:tc>
          <w:tcPr>
            <w:tcW w:w="1668" w:type="dxa"/>
            <w:tcBorders>
              <w:top w:val="single" w:sz="8" w:space="0" w:color="C1C7CD"/>
              <w:left w:val="single" w:sz="8" w:space="0" w:color="C1C7CD"/>
            </w:tcBorders>
            <w:tcMar>
              <w:top w:w="75" w:type="dxa"/>
              <w:left w:w="120" w:type="dxa"/>
              <w:bottom w:w="75" w:type="dxa"/>
              <w:right w:w="120" w:type="dxa"/>
            </w:tcMar>
          </w:tcPr>
          <w:p w14:paraId="2F9E835F" w14:textId="2554C692" w:rsidR="009E293B" w:rsidRDefault="009E293B">
            <w:pPr>
              <w:spacing w:after="0"/>
              <w:ind w:left="240"/>
            </w:pPr>
            <w:r>
              <w:rPr>
                <w:rFonts w:ascii="Cambria" w:hAnsi="Cambria"/>
                <w:color w:val="000000"/>
              </w:rPr>
              <w:t>.475</w:t>
            </w:r>
          </w:p>
        </w:tc>
        <w:tc>
          <w:tcPr>
            <w:tcW w:w="1528" w:type="dxa"/>
            <w:tcBorders>
              <w:top w:val="single" w:sz="8" w:space="0" w:color="C1C7CD"/>
              <w:left w:val="single" w:sz="8" w:space="0" w:color="C1C7CD"/>
            </w:tcBorders>
            <w:tcMar>
              <w:top w:w="75" w:type="dxa"/>
              <w:left w:w="120" w:type="dxa"/>
              <w:bottom w:w="75" w:type="dxa"/>
              <w:right w:w="120" w:type="dxa"/>
            </w:tcMar>
          </w:tcPr>
          <w:p w14:paraId="6F228EDA" w14:textId="603F089F" w:rsidR="009E293B" w:rsidRDefault="009E293B">
            <w:pPr>
              <w:spacing w:after="0"/>
              <w:ind w:left="240"/>
            </w:pPr>
            <w:r>
              <w:rPr>
                <w:rFonts w:ascii="Cambria" w:hAnsi="Cambria"/>
                <w:color w:val="000000"/>
              </w:rPr>
              <w:t>.645***</w:t>
            </w:r>
          </w:p>
        </w:tc>
        <w:tc>
          <w:tcPr>
            <w:tcW w:w="1673" w:type="dxa"/>
            <w:tcBorders>
              <w:top w:val="single" w:sz="8" w:space="0" w:color="C1C7CD"/>
              <w:left w:val="single" w:sz="8" w:space="0" w:color="C1C7CD"/>
            </w:tcBorders>
            <w:tcMar>
              <w:top w:w="75" w:type="dxa"/>
              <w:left w:w="120" w:type="dxa"/>
              <w:bottom w:w="75" w:type="dxa"/>
              <w:right w:w="120" w:type="dxa"/>
            </w:tcMar>
          </w:tcPr>
          <w:p w14:paraId="1BCF3C01" w14:textId="7ABA393B" w:rsidR="009E293B" w:rsidRDefault="009E293B">
            <w:pPr>
              <w:spacing w:after="0"/>
              <w:ind w:left="240"/>
            </w:pPr>
            <w:r>
              <w:rPr>
                <w:rFonts w:ascii="Cambria" w:hAnsi="Cambria"/>
                <w:color w:val="000000"/>
              </w:rPr>
              <w:t>.639***</w:t>
            </w:r>
          </w:p>
        </w:tc>
        <w:tc>
          <w:tcPr>
            <w:tcW w:w="1594" w:type="dxa"/>
            <w:tcBorders>
              <w:top w:val="single" w:sz="8" w:space="0" w:color="C1C7CD"/>
              <w:left w:val="single" w:sz="8" w:space="0" w:color="C1C7CD"/>
            </w:tcBorders>
            <w:tcMar>
              <w:top w:w="75" w:type="dxa"/>
              <w:left w:w="120" w:type="dxa"/>
              <w:bottom w:w="75" w:type="dxa"/>
              <w:right w:w="120" w:type="dxa"/>
            </w:tcMar>
          </w:tcPr>
          <w:p w14:paraId="783DC11C" w14:textId="5A419AD3" w:rsidR="009E293B" w:rsidRDefault="009E293B">
            <w:pPr>
              <w:spacing w:after="0"/>
              <w:ind w:left="240"/>
            </w:pPr>
            <w:r>
              <w:rPr>
                <w:rFonts w:ascii="Cambria" w:hAnsi="Cambria"/>
                <w:color w:val="000000"/>
              </w:rPr>
              <w:t>.654**</w:t>
            </w:r>
          </w:p>
        </w:tc>
        <w:tc>
          <w:tcPr>
            <w:tcW w:w="1477" w:type="dxa"/>
            <w:tcBorders>
              <w:top w:val="single" w:sz="8" w:space="0" w:color="C1C7CD"/>
              <w:left w:val="single" w:sz="8" w:space="0" w:color="C1C7CD"/>
            </w:tcBorders>
            <w:tcMar>
              <w:top w:w="75" w:type="dxa"/>
              <w:left w:w="120" w:type="dxa"/>
              <w:bottom w:w="75" w:type="dxa"/>
              <w:right w:w="120" w:type="dxa"/>
            </w:tcMar>
          </w:tcPr>
          <w:p w14:paraId="74264BB3" w14:textId="43E99D3F" w:rsidR="009E293B" w:rsidRDefault="009E293B">
            <w:pPr>
              <w:spacing w:after="0"/>
              <w:ind w:left="240"/>
            </w:pPr>
            <w:r>
              <w:rPr>
                <w:rFonts w:ascii="Cambria" w:hAnsi="Cambria"/>
                <w:color w:val="000000"/>
              </w:rPr>
              <w:t>.909***</w:t>
            </w:r>
          </w:p>
        </w:tc>
        <w:tc>
          <w:tcPr>
            <w:tcW w:w="1567" w:type="dxa"/>
            <w:tcBorders>
              <w:top w:val="single" w:sz="8" w:space="0" w:color="C1C7CD"/>
              <w:left w:val="single" w:sz="8" w:space="0" w:color="C1C7CD"/>
            </w:tcBorders>
            <w:tcMar>
              <w:top w:w="75" w:type="dxa"/>
              <w:left w:w="120" w:type="dxa"/>
              <w:bottom w:w="75" w:type="dxa"/>
              <w:right w:w="120" w:type="dxa"/>
            </w:tcMar>
          </w:tcPr>
          <w:p w14:paraId="7C330E08" w14:textId="114DD07D" w:rsidR="009E293B" w:rsidRDefault="009E293B">
            <w:pPr>
              <w:spacing w:after="0"/>
              <w:ind w:left="240"/>
            </w:pPr>
            <w:r>
              <w:rPr>
                <w:rFonts w:ascii="Cambria" w:hAnsi="Cambria"/>
                <w:color w:val="000000"/>
              </w:rPr>
              <w:t>.296</w:t>
            </w:r>
          </w:p>
        </w:tc>
      </w:tr>
      <w:tr w:rsidR="009E293B" w14:paraId="3C5159F6"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29A36D29" w14:textId="77777777" w:rsidR="009E293B" w:rsidRDefault="009E293B">
            <w:pPr>
              <w:spacing w:after="0"/>
              <w:ind w:left="240"/>
            </w:pPr>
            <w:r>
              <w:rPr>
                <w:rFonts w:ascii="Cambria" w:hAnsi="Cambria"/>
                <w:color w:val="000000"/>
              </w:rPr>
              <w:t>Cohort</w:t>
            </w:r>
          </w:p>
        </w:tc>
        <w:tc>
          <w:tcPr>
            <w:tcW w:w="1668" w:type="dxa"/>
            <w:tcBorders>
              <w:top w:val="single" w:sz="8" w:space="0" w:color="C1C7CD"/>
              <w:left w:val="single" w:sz="8" w:space="0" w:color="C1C7CD"/>
            </w:tcBorders>
            <w:tcMar>
              <w:top w:w="75" w:type="dxa"/>
              <w:left w:w="120" w:type="dxa"/>
              <w:bottom w:w="75" w:type="dxa"/>
              <w:right w:w="120" w:type="dxa"/>
            </w:tcMar>
          </w:tcPr>
          <w:p w14:paraId="7D9F8B4B" w14:textId="54D1457D" w:rsidR="009E293B" w:rsidRDefault="009E293B">
            <w:pPr>
              <w:spacing w:after="0"/>
              <w:ind w:left="240"/>
            </w:pPr>
            <w:r>
              <w:rPr>
                <w:rFonts w:ascii="Cambria" w:hAnsi="Cambria"/>
                <w:color w:val="000000"/>
              </w:rPr>
              <w:t>2005.3</w:t>
            </w:r>
          </w:p>
        </w:tc>
        <w:tc>
          <w:tcPr>
            <w:tcW w:w="1528" w:type="dxa"/>
            <w:tcBorders>
              <w:top w:val="single" w:sz="8" w:space="0" w:color="C1C7CD"/>
              <w:left w:val="single" w:sz="8" w:space="0" w:color="C1C7CD"/>
            </w:tcBorders>
            <w:tcMar>
              <w:top w:w="75" w:type="dxa"/>
              <w:left w:w="120" w:type="dxa"/>
              <w:bottom w:w="75" w:type="dxa"/>
              <w:right w:w="120" w:type="dxa"/>
            </w:tcMar>
          </w:tcPr>
          <w:p w14:paraId="6CAFAE6F" w14:textId="6020DDC3" w:rsidR="009E293B" w:rsidRDefault="009E293B">
            <w:pPr>
              <w:spacing w:after="0"/>
              <w:ind w:left="240"/>
            </w:pPr>
            <w:r>
              <w:rPr>
                <w:rFonts w:ascii="Cambria" w:hAnsi="Cambria"/>
                <w:color w:val="000000"/>
              </w:rPr>
              <w:t>2004.8***</w:t>
            </w:r>
          </w:p>
        </w:tc>
        <w:tc>
          <w:tcPr>
            <w:tcW w:w="1673" w:type="dxa"/>
            <w:tcBorders>
              <w:top w:val="single" w:sz="8" w:space="0" w:color="C1C7CD"/>
              <w:left w:val="single" w:sz="8" w:space="0" w:color="C1C7CD"/>
            </w:tcBorders>
            <w:tcMar>
              <w:top w:w="75" w:type="dxa"/>
              <w:left w:w="120" w:type="dxa"/>
              <w:bottom w:w="75" w:type="dxa"/>
              <w:right w:w="120" w:type="dxa"/>
            </w:tcMar>
          </w:tcPr>
          <w:p w14:paraId="2AC3D1A2" w14:textId="490F1DE5" w:rsidR="009E293B" w:rsidRDefault="009E293B">
            <w:pPr>
              <w:spacing w:after="0"/>
              <w:ind w:left="240"/>
            </w:pPr>
            <w:r>
              <w:rPr>
                <w:rFonts w:ascii="Cambria" w:hAnsi="Cambria"/>
                <w:color w:val="000000"/>
              </w:rPr>
              <w:t>2004.9</w:t>
            </w:r>
          </w:p>
        </w:tc>
        <w:tc>
          <w:tcPr>
            <w:tcW w:w="1594" w:type="dxa"/>
            <w:tcBorders>
              <w:top w:val="single" w:sz="8" w:space="0" w:color="C1C7CD"/>
              <w:left w:val="single" w:sz="8" w:space="0" w:color="C1C7CD"/>
            </w:tcBorders>
            <w:tcMar>
              <w:top w:w="75" w:type="dxa"/>
              <w:left w:w="120" w:type="dxa"/>
              <w:bottom w:w="75" w:type="dxa"/>
              <w:right w:w="120" w:type="dxa"/>
            </w:tcMar>
          </w:tcPr>
          <w:p w14:paraId="354E10B0" w14:textId="6942944C" w:rsidR="009E293B" w:rsidRDefault="009E293B">
            <w:pPr>
              <w:spacing w:after="0"/>
              <w:ind w:left="240"/>
            </w:pPr>
            <w:r>
              <w:rPr>
                <w:rFonts w:ascii="Cambria" w:hAnsi="Cambria"/>
                <w:color w:val="000000"/>
              </w:rPr>
              <w:t>2004.3***</w:t>
            </w:r>
          </w:p>
        </w:tc>
        <w:tc>
          <w:tcPr>
            <w:tcW w:w="1477" w:type="dxa"/>
            <w:tcBorders>
              <w:top w:val="single" w:sz="8" w:space="0" w:color="C1C7CD"/>
              <w:left w:val="single" w:sz="8" w:space="0" w:color="C1C7CD"/>
            </w:tcBorders>
            <w:tcMar>
              <w:top w:w="75" w:type="dxa"/>
              <w:left w:w="120" w:type="dxa"/>
              <w:bottom w:w="75" w:type="dxa"/>
              <w:right w:w="120" w:type="dxa"/>
            </w:tcMar>
          </w:tcPr>
          <w:p w14:paraId="0EE30BCE" w14:textId="0BCD35A2" w:rsidR="009E293B" w:rsidRDefault="009E293B">
            <w:pPr>
              <w:spacing w:after="0"/>
              <w:ind w:left="240"/>
            </w:pPr>
            <w:r>
              <w:rPr>
                <w:rFonts w:ascii="Cambria" w:hAnsi="Cambria"/>
                <w:color w:val="000000"/>
              </w:rPr>
              <w:t>2004.9</w:t>
            </w:r>
          </w:p>
        </w:tc>
        <w:tc>
          <w:tcPr>
            <w:tcW w:w="1567" w:type="dxa"/>
            <w:tcBorders>
              <w:top w:val="single" w:sz="8" w:space="0" w:color="C1C7CD"/>
              <w:left w:val="single" w:sz="8" w:space="0" w:color="C1C7CD"/>
            </w:tcBorders>
            <w:tcMar>
              <w:top w:w="75" w:type="dxa"/>
              <w:left w:w="120" w:type="dxa"/>
              <w:bottom w:w="75" w:type="dxa"/>
              <w:right w:w="120" w:type="dxa"/>
            </w:tcMar>
          </w:tcPr>
          <w:p w14:paraId="37488579" w14:textId="4398699A" w:rsidR="009E293B" w:rsidRDefault="009E293B">
            <w:pPr>
              <w:spacing w:after="0"/>
              <w:ind w:left="240"/>
            </w:pPr>
            <w:r>
              <w:rPr>
                <w:rFonts w:ascii="Cambria" w:hAnsi="Cambria"/>
                <w:color w:val="000000"/>
              </w:rPr>
              <w:t>2004.6</w:t>
            </w:r>
          </w:p>
        </w:tc>
      </w:tr>
      <w:tr w:rsidR="009E293B" w14:paraId="6475CD5D"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17F51234" w14:textId="77777777" w:rsidR="009E293B" w:rsidRDefault="009E293B">
            <w:pPr>
              <w:spacing w:after="0"/>
              <w:ind w:left="240"/>
            </w:pPr>
            <w:r>
              <w:rPr>
                <w:rFonts w:ascii="Cambria" w:hAnsi="Cambria"/>
                <w:color w:val="000000"/>
              </w:rPr>
              <w:t>Ever Suspended</w:t>
            </w:r>
          </w:p>
        </w:tc>
        <w:tc>
          <w:tcPr>
            <w:tcW w:w="1668" w:type="dxa"/>
            <w:tcBorders>
              <w:top w:val="single" w:sz="8" w:space="0" w:color="C1C7CD"/>
              <w:left w:val="single" w:sz="8" w:space="0" w:color="C1C7CD"/>
            </w:tcBorders>
            <w:tcMar>
              <w:top w:w="75" w:type="dxa"/>
              <w:left w:w="120" w:type="dxa"/>
              <w:bottom w:w="75" w:type="dxa"/>
              <w:right w:w="120" w:type="dxa"/>
            </w:tcMar>
          </w:tcPr>
          <w:p w14:paraId="2FC81495" w14:textId="623ECC6B" w:rsidR="009E293B" w:rsidRDefault="009E293B">
            <w:pPr>
              <w:spacing w:after="0"/>
              <w:ind w:left="240"/>
            </w:pPr>
            <w:r>
              <w:rPr>
                <w:rFonts w:ascii="Cambria" w:hAnsi="Cambria"/>
                <w:color w:val="000000"/>
              </w:rPr>
              <w:t>.065</w:t>
            </w:r>
          </w:p>
        </w:tc>
        <w:tc>
          <w:tcPr>
            <w:tcW w:w="1528" w:type="dxa"/>
            <w:tcBorders>
              <w:top w:val="single" w:sz="8" w:space="0" w:color="C1C7CD"/>
              <w:left w:val="single" w:sz="8" w:space="0" w:color="C1C7CD"/>
            </w:tcBorders>
            <w:tcMar>
              <w:top w:w="75" w:type="dxa"/>
              <w:left w:w="120" w:type="dxa"/>
              <w:bottom w:w="75" w:type="dxa"/>
              <w:right w:w="120" w:type="dxa"/>
            </w:tcMar>
          </w:tcPr>
          <w:p w14:paraId="29CA5ABE" w14:textId="1512D267" w:rsidR="009E293B" w:rsidRDefault="009E293B">
            <w:pPr>
              <w:spacing w:after="0"/>
              <w:ind w:left="240"/>
            </w:pPr>
            <w:r>
              <w:rPr>
                <w:rFonts w:ascii="Cambria" w:hAnsi="Cambria"/>
                <w:color w:val="000000"/>
              </w:rPr>
              <w:t>.125***</w:t>
            </w:r>
          </w:p>
        </w:tc>
        <w:tc>
          <w:tcPr>
            <w:tcW w:w="1673" w:type="dxa"/>
            <w:tcBorders>
              <w:top w:val="single" w:sz="8" w:space="0" w:color="C1C7CD"/>
              <w:left w:val="single" w:sz="8" w:space="0" w:color="C1C7CD"/>
            </w:tcBorders>
            <w:tcMar>
              <w:top w:w="75" w:type="dxa"/>
              <w:left w:w="120" w:type="dxa"/>
              <w:bottom w:w="75" w:type="dxa"/>
              <w:right w:w="120" w:type="dxa"/>
            </w:tcMar>
          </w:tcPr>
          <w:p w14:paraId="5307F0DB" w14:textId="152F7A05" w:rsidR="009E293B" w:rsidRDefault="009E293B">
            <w:pPr>
              <w:spacing w:after="0"/>
              <w:ind w:left="240"/>
            </w:pPr>
            <w:r>
              <w:rPr>
                <w:rFonts w:ascii="Cambria" w:hAnsi="Cambria"/>
                <w:color w:val="000000"/>
              </w:rPr>
              <w:t>.101</w:t>
            </w:r>
          </w:p>
        </w:tc>
        <w:tc>
          <w:tcPr>
            <w:tcW w:w="1594" w:type="dxa"/>
            <w:tcBorders>
              <w:top w:val="single" w:sz="8" w:space="0" w:color="C1C7CD"/>
              <w:left w:val="single" w:sz="8" w:space="0" w:color="C1C7CD"/>
            </w:tcBorders>
            <w:tcMar>
              <w:top w:w="75" w:type="dxa"/>
              <w:left w:w="120" w:type="dxa"/>
              <w:bottom w:w="75" w:type="dxa"/>
              <w:right w:w="120" w:type="dxa"/>
            </w:tcMar>
          </w:tcPr>
          <w:p w14:paraId="72AFE67C" w14:textId="60699E33" w:rsidR="009E293B" w:rsidRDefault="009E293B">
            <w:pPr>
              <w:spacing w:after="0"/>
              <w:ind w:left="240"/>
            </w:pPr>
            <w:r>
              <w:rPr>
                <w:rFonts w:ascii="Cambria" w:hAnsi="Cambria"/>
                <w:color w:val="000000"/>
              </w:rPr>
              <w:t>.167***</w:t>
            </w:r>
          </w:p>
        </w:tc>
        <w:tc>
          <w:tcPr>
            <w:tcW w:w="1477" w:type="dxa"/>
            <w:tcBorders>
              <w:top w:val="single" w:sz="8" w:space="0" w:color="C1C7CD"/>
              <w:left w:val="single" w:sz="8" w:space="0" w:color="C1C7CD"/>
            </w:tcBorders>
            <w:tcMar>
              <w:top w:w="75" w:type="dxa"/>
              <w:left w:w="120" w:type="dxa"/>
              <w:bottom w:w="75" w:type="dxa"/>
              <w:right w:w="120" w:type="dxa"/>
            </w:tcMar>
          </w:tcPr>
          <w:p w14:paraId="612A1696" w14:textId="2A205A06" w:rsidR="009E293B" w:rsidRDefault="009E293B">
            <w:pPr>
              <w:spacing w:after="0"/>
              <w:ind w:left="240"/>
            </w:pPr>
            <w:r>
              <w:rPr>
                <w:rFonts w:ascii="Cambria" w:hAnsi="Cambria"/>
                <w:color w:val="000000"/>
              </w:rPr>
              <w:t>.114</w:t>
            </w:r>
          </w:p>
        </w:tc>
        <w:tc>
          <w:tcPr>
            <w:tcW w:w="1567" w:type="dxa"/>
            <w:tcBorders>
              <w:top w:val="single" w:sz="8" w:space="0" w:color="C1C7CD"/>
              <w:left w:val="single" w:sz="8" w:space="0" w:color="C1C7CD"/>
            </w:tcBorders>
            <w:tcMar>
              <w:top w:w="75" w:type="dxa"/>
              <w:left w:w="120" w:type="dxa"/>
              <w:bottom w:w="75" w:type="dxa"/>
              <w:right w:w="120" w:type="dxa"/>
            </w:tcMar>
          </w:tcPr>
          <w:p w14:paraId="26B155EE" w14:textId="4BA60606" w:rsidR="009E293B" w:rsidRDefault="009E293B">
            <w:pPr>
              <w:spacing w:after="0"/>
              <w:ind w:left="240"/>
            </w:pPr>
            <w:r>
              <w:rPr>
                <w:rFonts w:ascii="Cambria" w:hAnsi="Cambria"/>
                <w:color w:val="000000"/>
              </w:rPr>
              <w:t>.074</w:t>
            </w:r>
          </w:p>
        </w:tc>
      </w:tr>
      <w:tr w:rsidR="009E293B" w14:paraId="57568C66"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16544912" w14:textId="77777777" w:rsidR="009E293B" w:rsidRDefault="009E293B">
            <w:pPr>
              <w:spacing w:after="0"/>
              <w:ind w:left="240"/>
            </w:pPr>
            <w:r>
              <w:rPr>
                <w:rFonts w:ascii="Cambria" w:hAnsi="Cambria"/>
                <w:color w:val="000000"/>
              </w:rPr>
              <w:t>Average Grades</w:t>
            </w:r>
          </w:p>
        </w:tc>
        <w:tc>
          <w:tcPr>
            <w:tcW w:w="1668" w:type="dxa"/>
            <w:tcBorders>
              <w:top w:val="single" w:sz="8" w:space="0" w:color="C1C7CD"/>
              <w:left w:val="single" w:sz="8" w:space="0" w:color="C1C7CD"/>
            </w:tcBorders>
            <w:tcMar>
              <w:top w:w="75" w:type="dxa"/>
              <w:left w:w="120" w:type="dxa"/>
              <w:bottom w:w="75" w:type="dxa"/>
              <w:right w:w="120" w:type="dxa"/>
            </w:tcMar>
          </w:tcPr>
          <w:p w14:paraId="3A83FAAD" w14:textId="40DCCF03" w:rsidR="009E293B" w:rsidRDefault="009E293B">
            <w:pPr>
              <w:spacing w:after="0"/>
              <w:ind w:left="240"/>
            </w:pPr>
            <w:r>
              <w:rPr>
                <w:rFonts w:ascii="Cambria" w:hAnsi="Cambria"/>
                <w:color w:val="000000"/>
              </w:rPr>
              <w:t>79.6</w:t>
            </w:r>
          </w:p>
        </w:tc>
        <w:tc>
          <w:tcPr>
            <w:tcW w:w="1528" w:type="dxa"/>
            <w:tcBorders>
              <w:top w:val="single" w:sz="8" w:space="0" w:color="C1C7CD"/>
              <w:left w:val="single" w:sz="8" w:space="0" w:color="C1C7CD"/>
            </w:tcBorders>
            <w:tcMar>
              <w:top w:w="75" w:type="dxa"/>
              <w:left w:w="120" w:type="dxa"/>
              <w:bottom w:w="75" w:type="dxa"/>
              <w:right w:w="120" w:type="dxa"/>
            </w:tcMar>
          </w:tcPr>
          <w:p w14:paraId="74348F18" w14:textId="60331154" w:rsidR="009E293B" w:rsidRDefault="009E293B">
            <w:pPr>
              <w:spacing w:after="0"/>
              <w:ind w:left="240"/>
            </w:pPr>
            <w:r>
              <w:rPr>
                <w:rFonts w:ascii="Cambria" w:hAnsi="Cambria"/>
                <w:color w:val="000000"/>
              </w:rPr>
              <w:t>74.0***</w:t>
            </w:r>
          </w:p>
        </w:tc>
        <w:tc>
          <w:tcPr>
            <w:tcW w:w="1673" w:type="dxa"/>
            <w:tcBorders>
              <w:top w:val="single" w:sz="8" w:space="0" w:color="C1C7CD"/>
              <w:left w:val="single" w:sz="8" w:space="0" w:color="C1C7CD"/>
            </w:tcBorders>
            <w:tcMar>
              <w:top w:w="75" w:type="dxa"/>
              <w:left w:w="120" w:type="dxa"/>
              <w:bottom w:w="75" w:type="dxa"/>
              <w:right w:w="120" w:type="dxa"/>
            </w:tcMar>
          </w:tcPr>
          <w:p w14:paraId="1F627A2A" w14:textId="4DCD7A37" w:rsidR="009E293B" w:rsidRDefault="009E293B">
            <w:pPr>
              <w:spacing w:after="0"/>
              <w:ind w:left="240"/>
            </w:pPr>
            <w:r>
              <w:rPr>
                <w:rFonts w:ascii="Cambria" w:hAnsi="Cambria"/>
                <w:color w:val="000000"/>
              </w:rPr>
              <w:t>76.6**</w:t>
            </w:r>
          </w:p>
        </w:tc>
        <w:tc>
          <w:tcPr>
            <w:tcW w:w="1594" w:type="dxa"/>
            <w:tcBorders>
              <w:top w:val="single" w:sz="8" w:space="0" w:color="C1C7CD"/>
              <w:left w:val="single" w:sz="8" w:space="0" w:color="C1C7CD"/>
            </w:tcBorders>
            <w:tcMar>
              <w:top w:w="75" w:type="dxa"/>
              <w:left w:w="120" w:type="dxa"/>
              <w:bottom w:w="75" w:type="dxa"/>
              <w:right w:w="120" w:type="dxa"/>
            </w:tcMar>
          </w:tcPr>
          <w:p w14:paraId="1FF56D35" w14:textId="0421B2C9" w:rsidR="009E293B" w:rsidRDefault="009E293B">
            <w:pPr>
              <w:spacing w:after="0"/>
              <w:ind w:left="240"/>
            </w:pPr>
            <w:r>
              <w:rPr>
                <w:rFonts w:ascii="Cambria" w:hAnsi="Cambria"/>
                <w:color w:val="000000"/>
              </w:rPr>
              <w:t>69.3***</w:t>
            </w:r>
          </w:p>
        </w:tc>
        <w:tc>
          <w:tcPr>
            <w:tcW w:w="1477" w:type="dxa"/>
            <w:tcBorders>
              <w:top w:val="single" w:sz="8" w:space="0" w:color="C1C7CD"/>
              <w:left w:val="single" w:sz="8" w:space="0" w:color="C1C7CD"/>
            </w:tcBorders>
            <w:tcMar>
              <w:top w:w="75" w:type="dxa"/>
              <w:left w:w="120" w:type="dxa"/>
              <w:bottom w:w="75" w:type="dxa"/>
              <w:right w:w="120" w:type="dxa"/>
            </w:tcMar>
          </w:tcPr>
          <w:p w14:paraId="256B5CD4" w14:textId="4195863A" w:rsidR="009E293B" w:rsidRDefault="009E293B">
            <w:pPr>
              <w:spacing w:after="0"/>
              <w:ind w:left="240"/>
            </w:pPr>
            <w:r>
              <w:t>75.9**</w:t>
            </w:r>
          </w:p>
        </w:tc>
        <w:tc>
          <w:tcPr>
            <w:tcW w:w="1567" w:type="dxa"/>
            <w:tcBorders>
              <w:top w:val="single" w:sz="8" w:space="0" w:color="C1C7CD"/>
              <w:left w:val="single" w:sz="8" w:space="0" w:color="C1C7CD"/>
            </w:tcBorders>
            <w:tcMar>
              <w:top w:w="75" w:type="dxa"/>
              <w:left w:w="120" w:type="dxa"/>
              <w:bottom w:w="75" w:type="dxa"/>
              <w:right w:w="120" w:type="dxa"/>
            </w:tcMar>
          </w:tcPr>
          <w:p w14:paraId="22D4EAF0" w14:textId="1B16AF97" w:rsidR="009E293B" w:rsidRDefault="009E293B">
            <w:pPr>
              <w:spacing w:after="0"/>
              <w:ind w:left="240"/>
            </w:pPr>
            <w:r>
              <w:rPr>
                <w:rFonts w:ascii="Cambria" w:hAnsi="Cambria"/>
                <w:color w:val="000000"/>
              </w:rPr>
              <w:t>78.0</w:t>
            </w:r>
          </w:p>
        </w:tc>
      </w:tr>
      <w:tr w:rsidR="009E293B" w14:paraId="7D9F4017"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2E551380" w14:textId="77777777" w:rsidR="009E293B" w:rsidRDefault="009E293B">
            <w:pPr>
              <w:spacing w:after="0"/>
              <w:ind w:left="240"/>
            </w:pPr>
            <w:r>
              <w:rPr>
                <w:rFonts w:ascii="Cambria" w:hAnsi="Cambria"/>
                <w:color w:val="000000"/>
              </w:rPr>
              <w:t>Absenteeism</w:t>
            </w:r>
          </w:p>
        </w:tc>
        <w:tc>
          <w:tcPr>
            <w:tcW w:w="1668" w:type="dxa"/>
            <w:tcBorders>
              <w:top w:val="single" w:sz="8" w:space="0" w:color="C1C7CD"/>
              <w:left w:val="single" w:sz="8" w:space="0" w:color="C1C7CD"/>
            </w:tcBorders>
            <w:tcMar>
              <w:top w:w="75" w:type="dxa"/>
              <w:left w:w="120" w:type="dxa"/>
              <w:bottom w:w="75" w:type="dxa"/>
              <w:right w:w="120" w:type="dxa"/>
            </w:tcMar>
          </w:tcPr>
          <w:p w14:paraId="10D9E54D" w14:textId="1E363946" w:rsidR="009E293B" w:rsidRDefault="009E293B">
            <w:pPr>
              <w:spacing w:after="0"/>
              <w:ind w:left="240"/>
            </w:pPr>
            <w:r>
              <w:rPr>
                <w:rFonts w:ascii="Cambria" w:hAnsi="Cambria"/>
                <w:color w:val="000000"/>
              </w:rPr>
              <w:t>2.50</w:t>
            </w:r>
          </w:p>
        </w:tc>
        <w:tc>
          <w:tcPr>
            <w:tcW w:w="1528" w:type="dxa"/>
            <w:tcBorders>
              <w:top w:val="single" w:sz="8" w:space="0" w:color="C1C7CD"/>
              <w:left w:val="single" w:sz="8" w:space="0" w:color="C1C7CD"/>
            </w:tcBorders>
            <w:tcMar>
              <w:top w:w="75" w:type="dxa"/>
              <w:left w:w="120" w:type="dxa"/>
              <w:bottom w:w="75" w:type="dxa"/>
              <w:right w:w="120" w:type="dxa"/>
            </w:tcMar>
          </w:tcPr>
          <w:p w14:paraId="123E7F9C" w14:textId="26655836" w:rsidR="009E293B" w:rsidRDefault="009E293B">
            <w:pPr>
              <w:spacing w:after="0"/>
              <w:ind w:left="240"/>
            </w:pPr>
            <w:r>
              <w:rPr>
                <w:rFonts w:ascii="Cambria" w:hAnsi="Cambria"/>
                <w:color w:val="000000"/>
              </w:rPr>
              <w:t>4.61***</w:t>
            </w:r>
          </w:p>
        </w:tc>
        <w:tc>
          <w:tcPr>
            <w:tcW w:w="1673" w:type="dxa"/>
            <w:tcBorders>
              <w:top w:val="single" w:sz="8" w:space="0" w:color="C1C7CD"/>
              <w:left w:val="single" w:sz="8" w:space="0" w:color="C1C7CD"/>
            </w:tcBorders>
            <w:tcMar>
              <w:top w:w="75" w:type="dxa"/>
              <w:left w:w="120" w:type="dxa"/>
              <w:bottom w:w="75" w:type="dxa"/>
              <w:right w:w="120" w:type="dxa"/>
            </w:tcMar>
          </w:tcPr>
          <w:p w14:paraId="02B245D6" w14:textId="7700FEF6" w:rsidR="009E293B" w:rsidRDefault="009E293B">
            <w:pPr>
              <w:spacing w:after="0"/>
              <w:ind w:left="240"/>
            </w:pPr>
            <w:r>
              <w:rPr>
                <w:rFonts w:ascii="Cambria" w:hAnsi="Cambria"/>
                <w:color w:val="000000"/>
              </w:rPr>
              <w:t>4.72***</w:t>
            </w:r>
          </w:p>
        </w:tc>
        <w:tc>
          <w:tcPr>
            <w:tcW w:w="1594" w:type="dxa"/>
            <w:tcBorders>
              <w:top w:val="single" w:sz="8" w:space="0" w:color="C1C7CD"/>
              <w:left w:val="single" w:sz="8" w:space="0" w:color="C1C7CD"/>
            </w:tcBorders>
            <w:tcMar>
              <w:top w:w="75" w:type="dxa"/>
              <w:left w:w="120" w:type="dxa"/>
              <w:bottom w:w="75" w:type="dxa"/>
              <w:right w:w="120" w:type="dxa"/>
            </w:tcMar>
          </w:tcPr>
          <w:p w14:paraId="0C2DE522" w14:textId="1CD70AC5" w:rsidR="009E293B" w:rsidRDefault="009E293B">
            <w:pPr>
              <w:spacing w:after="0"/>
              <w:ind w:left="240"/>
            </w:pPr>
            <w:r>
              <w:rPr>
                <w:rFonts w:ascii="Cambria" w:hAnsi="Cambria"/>
                <w:color w:val="000000"/>
              </w:rPr>
              <w:t>3.86**</w:t>
            </w:r>
          </w:p>
        </w:tc>
        <w:tc>
          <w:tcPr>
            <w:tcW w:w="1477" w:type="dxa"/>
            <w:tcBorders>
              <w:top w:val="single" w:sz="8" w:space="0" w:color="C1C7CD"/>
              <w:left w:val="single" w:sz="8" w:space="0" w:color="C1C7CD"/>
            </w:tcBorders>
            <w:tcMar>
              <w:top w:w="75" w:type="dxa"/>
              <w:left w:w="120" w:type="dxa"/>
              <w:bottom w:w="75" w:type="dxa"/>
              <w:right w:w="120" w:type="dxa"/>
            </w:tcMar>
          </w:tcPr>
          <w:p w14:paraId="57BBFA48" w14:textId="611A06DB" w:rsidR="009E293B" w:rsidRDefault="009E293B">
            <w:pPr>
              <w:spacing w:after="0"/>
              <w:ind w:left="240"/>
            </w:pPr>
            <w:r>
              <w:rPr>
                <w:rFonts w:ascii="Cambria" w:hAnsi="Cambria"/>
                <w:color w:val="000000"/>
              </w:rPr>
              <w:t>5.97***</w:t>
            </w:r>
          </w:p>
        </w:tc>
        <w:tc>
          <w:tcPr>
            <w:tcW w:w="1567" w:type="dxa"/>
            <w:tcBorders>
              <w:top w:val="single" w:sz="8" w:space="0" w:color="C1C7CD"/>
              <w:left w:val="single" w:sz="8" w:space="0" w:color="C1C7CD"/>
            </w:tcBorders>
            <w:tcMar>
              <w:top w:w="75" w:type="dxa"/>
              <w:left w:w="120" w:type="dxa"/>
              <w:bottom w:w="75" w:type="dxa"/>
              <w:right w:w="120" w:type="dxa"/>
            </w:tcMar>
          </w:tcPr>
          <w:p w14:paraId="617D7E14" w14:textId="4F03609B" w:rsidR="009E293B" w:rsidRDefault="009E293B">
            <w:pPr>
              <w:spacing w:after="0"/>
              <w:ind w:left="240"/>
            </w:pPr>
            <w:r>
              <w:rPr>
                <w:rFonts w:ascii="Cambria" w:hAnsi="Cambria"/>
                <w:color w:val="000000"/>
              </w:rPr>
              <w:t>4.88</w:t>
            </w:r>
          </w:p>
        </w:tc>
      </w:tr>
      <w:tr w:rsidR="009E293B" w14:paraId="5E18104C"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616AA5BE" w14:textId="3473E74A" w:rsidR="009E293B" w:rsidRDefault="009E293B">
            <w:pPr>
              <w:spacing w:after="0"/>
              <w:ind w:left="240"/>
            </w:pPr>
            <w:r>
              <w:t>Special Need</w:t>
            </w:r>
          </w:p>
        </w:tc>
        <w:tc>
          <w:tcPr>
            <w:tcW w:w="1668" w:type="dxa"/>
            <w:tcBorders>
              <w:top w:val="single" w:sz="8" w:space="0" w:color="C1C7CD"/>
              <w:left w:val="single" w:sz="8" w:space="0" w:color="C1C7CD"/>
            </w:tcBorders>
            <w:tcMar>
              <w:top w:w="75" w:type="dxa"/>
              <w:left w:w="120" w:type="dxa"/>
              <w:bottom w:w="75" w:type="dxa"/>
              <w:right w:w="120" w:type="dxa"/>
            </w:tcMar>
          </w:tcPr>
          <w:p w14:paraId="53655FBC" w14:textId="1D27D8B9" w:rsidR="009E293B" w:rsidRDefault="009E293B">
            <w:pPr>
              <w:spacing w:after="0"/>
              <w:ind w:left="240"/>
            </w:pPr>
            <w:r>
              <w:rPr>
                <w:rFonts w:ascii="Cambria" w:hAnsi="Cambria"/>
                <w:color w:val="000000"/>
              </w:rPr>
              <w:t>.028</w:t>
            </w:r>
          </w:p>
        </w:tc>
        <w:tc>
          <w:tcPr>
            <w:tcW w:w="1528" w:type="dxa"/>
            <w:tcBorders>
              <w:top w:val="single" w:sz="8" w:space="0" w:color="C1C7CD"/>
              <w:left w:val="single" w:sz="8" w:space="0" w:color="C1C7CD"/>
            </w:tcBorders>
            <w:tcMar>
              <w:top w:w="75" w:type="dxa"/>
              <w:left w:w="120" w:type="dxa"/>
              <w:bottom w:w="75" w:type="dxa"/>
              <w:right w:w="120" w:type="dxa"/>
            </w:tcMar>
          </w:tcPr>
          <w:p w14:paraId="731696D8" w14:textId="75FEB0CE" w:rsidR="009E293B" w:rsidRDefault="009E293B">
            <w:pPr>
              <w:spacing w:after="0"/>
              <w:ind w:left="240"/>
            </w:pPr>
            <w:r>
              <w:rPr>
                <w:rFonts w:ascii="Cambria" w:hAnsi="Cambria"/>
                <w:color w:val="000000"/>
              </w:rPr>
              <w:t>.047</w:t>
            </w:r>
          </w:p>
        </w:tc>
        <w:tc>
          <w:tcPr>
            <w:tcW w:w="1673" w:type="dxa"/>
            <w:tcBorders>
              <w:top w:val="single" w:sz="8" w:space="0" w:color="C1C7CD"/>
              <w:left w:val="single" w:sz="8" w:space="0" w:color="C1C7CD"/>
            </w:tcBorders>
            <w:tcMar>
              <w:top w:w="75" w:type="dxa"/>
              <w:left w:w="120" w:type="dxa"/>
              <w:bottom w:w="75" w:type="dxa"/>
              <w:right w:w="120" w:type="dxa"/>
            </w:tcMar>
          </w:tcPr>
          <w:p w14:paraId="44A5DDB8" w14:textId="5BA80CFD" w:rsidR="009E293B" w:rsidRDefault="009E293B">
            <w:pPr>
              <w:spacing w:after="0"/>
              <w:ind w:left="240"/>
            </w:pPr>
            <w:r>
              <w:rPr>
                <w:rFonts w:ascii="Cambria" w:hAnsi="Cambria"/>
                <w:color w:val="000000"/>
              </w:rPr>
              <w:t>.041</w:t>
            </w:r>
          </w:p>
        </w:tc>
        <w:tc>
          <w:tcPr>
            <w:tcW w:w="1594" w:type="dxa"/>
            <w:tcBorders>
              <w:top w:val="single" w:sz="8" w:space="0" w:color="C1C7CD"/>
              <w:left w:val="single" w:sz="8" w:space="0" w:color="C1C7CD"/>
            </w:tcBorders>
            <w:tcMar>
              <w:top w:w="75" w:type="dxa"/>
              <w:left w:w="120" w:type="dxa"/>
              <w:bottom w:w="75" w:type="dxa"/>
              <w:right w:w="120" w:type="dxa"/>
            </w:tcMar>
          </w:tcPr>
          <w:p w14:paraId="2A37C26C" w14:textId="4A221F12" w:rsidR="009E293B" w:rsidRDefault="009E293B">
            <w:pPr>
              <w:spacing w:after="0"/>
              <w:ind w:left="240"/>
            </w:pPr>
            <w:r>
              <w:rPr>
                <w:rFonts w:ascii="Cambria" w:hAnsi="Cambria"/>
                <w:color w:val="000000"/>
              </w:rPr>
              <w:t>.0902**</w:t>
            </w:r>
          </w:p>
        </w:tc>
        <w:tc>
          <w:tcPr>
            <w:tcW w:w="1477" w:type="dxa"/>
            <w:tcBorders>
              <w:top w:val="single" w:sz="8" w:space="0" w:color="C1C7CD"/>
              <w:left w:val="single" w:sz="8" w:space="0" w:color="C1C7CD"/>
            </w:tcBorders>
            <w:tcMar>
              <w:top w:w="75" w:type="dxa"/>
              <w:left w:w="120" w:type="dxa"/>
              <w:bottom w:w="75" w:type="dxa"/>
              <w:right w:w="120" w:type="dxa"/>
            </w:tcMar>
          </w:tcPr>
          <w:p w14:paraId="382A7643" w14:textId="77777777" w:rsidR="009E293B" w:rsidRDefault="009E293B">
            <w:pPr>
              <w:spacing w:after="0"/>
              <w:ind w:left="240"/>
            </w:pPr>
            <w:r>
              <w:rPr>
                <w:rFonts w:ascii="Cambria" w:hAnsi="Cambria"/>
                <w:color w:val="000000"/>
              </w:rPr>
              <w:t>.000</w:t>
            </w:r>
          </w:p>
        </w:tc>
        <w:tc>
          <w:tcPr>
            <w:tcW w:w="1567" w:type="dxa"/>
            <w:tcBorders>
              <w:top w:val="single" w:sz="8" w:space="0" w:color="C1C7CD"/>
              <w:left w:val="single" w:sz="8" w:space="0" w:color="C1C7CD"/>
            </w:tcBorders>
            <w:tcMar>
              <w:top w:w="75" w:type="dxa"/>
              <w:left w:w="120" w:type="dxa"/>
              <w:bottom w:w="75" w:type="dxa"/>
              <w:right w:w="120" w:type="dxa"/>
            </w:tcMar>
          </w:tcPr>
          <w:p w14:paraId="5007B7B0" w14:textId="77777777" w:rsidR="009E293B" w:rsidRDefault="009E293B">
            <w:pPr>
              <w:spacing w:after="0"/>
              <w:ind w:left="240"/>
            </w:pPr>
            <w:r>
              <w:rPr>
                <w:rFonts w:ascii="Cambria" w:hAnsi="Cambria"/>
                <w:color w:val="000000"/>
              </w:rPr>
              <w:t>.000</w:t>
            </w:r>
          </w:p>
        </w:tc>
      </w:tr>
      <w:tr w:rsidR="009E293B" w14:paraId="36B0F5A8"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5C361A1C" w14:textId="7C42D0F4" w:rsidR="009E293B" w:rsidRDefault="009E293B">
            <w:pPr>
              <w:spacing w:after="0"/>
              <w:ind w:left="240"/>
            </w:pPr>
            <w:r>
              <w:rPr>
                <w:rFonts w:ascii="Cambria" w:hAnsi="Cambria"/>
                <w:color w:val="000000"/>
              </w:rPr>
              <w:t>Ever Drop out HS </w:t>
            </w:r>
          </w:p>
        </w:tc>
        <w:tc>
          <w:tcPr>
            <w:tcW w:w="1668" w:type="dxa"/>
            <w:tcBorders>
              <w:top w:val="single" w:sz="8" w:space="0" w:color="C1C7CD"/>
              <w:left w:val="single" w:sz="8" w:space="0" w:color="C1C7CD"/>
            </w:tcBorders>
            <w:tcMar>
              <w:top w:w="75" w:type="dxa"/>
              <w:left w:w="120" w:type="dxa"/>
              <w:bottom w:w="75" w:type="dxa"/>
              <w:right w:w="120" w:type="dxa"/>
            </w:tcMar>
          </w:tcPr>
          <w:p w14:paraId="22949098" w14:textId="56D64A72" w:rsidR="009E293B" w:rsidRDefault="009E293B">
            <w:pPr>
              <w:spacing w:after="0"/>
              <w:ind w:left="240"/>
            </w:pPr>
            <w:r>
              <w:rPr>
                <w:rFonts w:ascii="Cambria" w:hAnsi="Cambria"/>
                <w:color w:val="000000"/>
              </w:rPr>
              <w:t>.012</w:t>
            </w:r>
          </w:p>
        </w:tc>
        <w:tc>
          <w:tcPr>
            <w:tcW w:w="1528" w:type="dxa"/>
            <w:tcBorders>
              <w:top w:val="single" w:sz="8" w:space="0" w:color="C1C7CD"/>
              <w:left w:val="single" w:sz="8" w:space="0" w:color="C1C7CD"/>
            </w:tcBorders>
            <w:tcMar>
              <w:top w:w="75" w:type="dxa"/>
              <w:left w:w="120" w:type="dxa"/>
              <w:bottom w:w="75" w:type="dxa"/>
              <w:right w:w="120" w:type="dxa"/>
            </w:tcMar>
          </w:tcPr>
          <w:p w14:paraId="387BEAB1" w14:textId="2DC2BDAA" w:rsidR="009E293B" w:rsidRDefault="009E293B">
            <w:pPr>
              <w:spacing w:after="0"/>
              <w:ind w:left="240"/>
            </w:pPr>
            <w:r>
              <w:rPr>
                <w:rFonts w:ascii="Cambria" w:hAnsi="Cambria"/>
                <w:color w:val="000000"/>
              </w:rPr>
              <w:t>.043***</w:t>
            </w:r>
          </w:p>
        </w:tc>
        <w:tc>
          <w:tcPr>
            <w:tcW w:w="1673" w:type="dxa"/>
            <w:tcBorders>
              <w:top w:val="single" w:sz="8" w:space="0" w:color="C1C7CD"/>
              <w:left w:val="single" w:sz="8" w:space="0" w:color="C1C7CD"/>
            </w:tcBorders>
            <w:tcMar>
              <w:top w:w="75" w:type="dxa"/>
              <w:left w:w="120" w:type="dxa"/>
              <w:bottom w:w="75" w:type="dxa"/>
              <w:right w:w="120" w:type="dxa"/>
            </w:tcMar>
          </w:tcPr>
          <w:p w14:paraId="04E7491E" w14:textId="0F477634" w:rsidR="009E293B" w:rsidRDefault="009E293B">
            <w:pPr>
              <w:spacing w:after="0"/>
              <w:ind w:left="240"/>
            </w:pPr>
            <w:r>
              <w:rPr>
                <w:rFonts w:ascii="Cambria" w:hAnsi="Cambria"/>
                <w:color w:val="000000"/>
              </w:rPr>
              <w:t>.025</w:t>
            </w:r>
          </w:p>
        </w:tc>
        <w:tc>
          <w:tcPr>
            <w:tcW w:w="1594" w:type="dxa"/>
            <w:tcBorders>
              <w:top w:val="single" w:sz="8" w:space="0" w:color="C1C7CD"/>
              <w:left w:val="single" w:sz="8" w:space="0" w:color="C1C7CD"/>
            </w:tcBorders>
            <w:tcMar>
              <w:top w:w="75" w:type="dxa"/>
              <w:left w:w="120" w:type="dxa"/>
              <w:bottom w:w="75" w:type="dxa"/>
              <w:right w:w="120" w:type="dxa"/>
            </w:tcMar>
          </w:tcPr>
          <w:p w14:paraId="37ECBBF2" w14:textId="12AF9CE7" w:rsidR="009E293B" w:rsidRDefault="009E293B">
            <w:pPr>
              <w:spacing w:after="0"/>
              <w:ind w:left="240"/>
            </w:pPr>
            <w:r>
              <w:rPr>
                <w:rFonts w:ascii="Cambria" w:hAnsi="Cambria"/>
                <w:color w:val="000000"/>
              </w:rPr>
              <w:t>.038*</w:t>
            </w:r>
          </w:p>
        </w:tc>
        <w:tc>
          <w:tcPr>
            <w:tcW w:w="1477" w:type="dxa"/>
            <w:tcBorders>
              <w:top w:val="single" w:sz="8" w:space="0" w:color="C1C7CD"/>
              <w:left w:val="single" w:sz="8" w:space="0" w:color="C1C7CD"/>
            </w:tcBorders>
            <w:tcMar>
              <w:top w:w="75" w:type="dxa"/>
              <w:left w:w="120" w:type="dxa"/>
              <w:bottom w:w="75" w:type="dxa"/>
              <w:right w:w="120" w:type="dxa"/>
            </w:tcMar>
          </w:tcPr>
          <w:p w14:paraId="0FF307A9" w14:textId="332BE35E" w:rsidR="009E293B" w:rsidRDefault="009E293B">
            <w:pPr>
              <w:spacing w:after="0"/>
              <w:ind w:left="240"/>
            </w:pPr>
            <w:r>
              <w:rPr>
                <w:rFonts w:ascii="Cambria" w:hAnsi="Cambria"/>
                <w:color w:val="000000"/>
              </w:rPr>
              <w:t>.000</w:t>
            </w:r>
          </w:p>
        </w:tc>
        <w:tc>
          <w:tcPr>
            <w:tcW w:w="1567" w:type="dxa"/>
            <w:tcBorders>
              <w:top w:val="single" w:sz="8" w:space="0" w:color="C1C7CD"/>
              <w:left w:val="single" w:sz="8" w:space="0" w:color="C1C7CD"/>
            </w:tcBorders>
            <w:tcMar>
              <w:top w:w="75" w:type="dxa"/>
              <w:left w:w="120" w:type="dxa"/>
              <w:bottom w:w="75" w:type="dxa"/>
              <w:right w:w="120" w:type="dxa"/>
            </w:tcMar>
          </w:tcPr>
          <w:p w14:paraId="7979A293" w14:textId="77777777" w:rsidR="009E293B" w:rsidRDefault="009E293B">
            <w:pPr>
              <w:spacing w:after="0"/>
              <w:ind w:left="240"/>
            </w:pPr>
            <w:r>
              <w:rPr>
                <w:rFonts w:ascii="Cambria" w:hAnsi="Cambria"/>
                <w:color w:val="000000"/>
              </w:rPr>
              <w:t>.087***</w:t>
            </w:r>
          </w:p>
        </w:tc>
      </w:tr>
      <w:tr w:rsidR="009E293B" w14:paraId="621B44FD"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3DCD0A0B" w14:textId="60E00288" w:rsidR="009E293B" w:rsidRDefault="009E293B">
            <w:pPr>
              <w:spacing w:after="0"/>
              <w:ind w:left="240"/>
            </w:pPr>
            <w:r>
              <w:lastRenderedPageBreak/>
              <w:t>Neighb. Income</w:t>
            </w:r>
          </w:p>
        </w:tc>
        <w:tc>
          <w:tcPr>
            <w:tcW w:w="1668" w:type="dxa"/>
            <w:tcBorders>
              <w:top w:val="single" w:sz="8" w:space="0" w:color="C1C7CD"/>
              <w:left w:val="single" w:sz="8" w:space="0" w:color="C1C7CD"/>
            </w:tcBorders>
            <w:tcMar>
              <w:top w:w="75" w:type="dxa"/>
              <w:left w:w="120" w:type="dxa"/>
              <w:bottom w:w="75" w:type="dxa"/>
              <w:right w:w="120" w:type="dxa"/>
            </w:tcMar>
          </w:tcPr>
          <w:p w14:paraId="7E0723EE" w14:textId="2986D35A" w:rsidR="009E293B" w:rsidRDefault="009E293B">
            <w:pPr>
              <w:spacing w:after="0"/>
              <w:ind w:left="240"/>
            </w:pPr>
            <w:r>
              <w:t>5.72</w:t>
            </w:r>
          </w:p>
        </w:tc>
        <w:tc>
          <w:tcPr>
            <w:tcW w:w="1528" w:type="dxa"/>
            <w:tcBorders>
              <w:top w:val="single" w:sz="8" w:space="0" w:color="C1C7CD"/>
              <w:left w:val="single" w:sz="8" w:space="0" w:color="C1C7CD"/>
            </w:tcBorders>
            <w:tcMar>
              <w:top w:w="75" w:type="dxa"/>
              <w:left w:w="120" w:type="dxa"/>
              <w:bottom w:w="75" w:type="dxa"/>
              <w:right w:w="120" w:type="dxa"/>
            </w:tcMar>
          </w:tcPr>
          <w:p w14:paraId="72FA5CCA" w14:textId="78D148A2" w:rsidR="009E293B" w:rsidRDefault="009E293B">
            <w:pPr>
              <w:spacing w:after="0"/>
              <w:ind w:left="240"/>
            </w:pPr>
            <w:r>
              <w:rPr>
                <w:rFonts w:ascii="Cambria" w:hAnsi="Cambria"/>
                <w:color w:val="000000"/>
              </w:rPr>
              <w:t>6.70***</w:t>
            </w:r>
          </w:p>
        </w:tc>
        <w:tc>
          <w:tcPr>
            <w:tcW w:w="1673" w:type="dxa"/>
            <w:tcBorders>
              <w:top w:val="single" w:sz="8" w:space="0" w:color="C1C7CD"/>
              <w:left w:val="single" w:sz="8" w:space="0" w:color="C1C7CD"/>
            </w:tcBorders>
            <w:tcMar>
              <w:top w:w="75" w:type="dxa"/>
              <w:left w:w="120" w:type="dxa"/>
              <w:bottom w:w="75" w:type="dxa"/>
              <w:right w:w="120" w:type="dxa"/>
            </w:tcMar>
          </w:tcPr>
          <w:p w14:paraId="09C6B0FD" w14:textId="4691EE35" w:rsidR="009E293B" w:rsidRDefault="009E293B">
            <w:pPr>
              <w:spacing w:after="0"/>
              <w:ind w:left="240"/>
            </w:pPr>
            <w:r>
              <w:t>6.81***</w:t>
            </w:r>
          </w:p>
        </w:tc>
        <w:tc>
          <w:tcPr>
            <w:tcW w:w="1594" w:type="dxa"/>
            <w:tcBorders>
              <w:top w:val="single" w:sz="8" w:space="0" w:color="C1C7CD"/>
              <w:left w:val="single" w:sz="8" w:space="0" w:color="C1C7CD"/>
            </w:tcBorders>
            <w:tcMar>
              <w:top w:w="75" w:type="dxa"/>
              <w:left w:w="120" w:type="dxa"/>
              <w:bottom w:w="75" w:type="dxa"/>
              <w:right w:w="120" w:type="dxa"/>
            </w:tcMar>
          </w:tcPr>
          <w:p w14:paraId="26809A47" w14:textId="0F316BB6" w:rsidR="009E293B" w:rsidRDefault="009E293B">
            <w:pPr>
              <w:spacing w:after="0"/>
              <w:ind w:left="240"/>
            </w:pPr>
            <w:r>
              <w:rPr>
                <w:rFonts w:ascii="Cambria" w:hAnsi="Cambria"/>
                <w:color w:val="000000"/>
              </w:rPr>
              <w:t>6.08</w:t>
            </w:r>
          </w:p>
        </w:tc>
        <w:tc>
          <w:tcPr>
            <w:tcW w:w="1477" w:type="dxa"/>
            <w:tcBorders>
              <w:top w:val="single" w:sz="8" w:space="0" w:color="C1C7CD"/>
              <w:left w:val="single" w:sz="8" w:space="0" w:color="C1C7CD"/>
            </w:tcBorders>
            <w:tcMar>
              <w:top w:w="75" w:type="dxa"/>
              <w:left w:w="120" w:type="dxa"/>
              <w:bottom w:w="75" w:type="dxa"/>
              <w:right w:w="120" w:type="dxa"/>
            </w:tcMar>
          </w:tcPr>
          <w:p w14:paraId="2EAB4A65" w14:textId="778888F4" w:rsidR="009E293B" w:rsidRDefault="009E293B">
            <w:pPr>
              <w:spacing w:after="0"/>
              <w:ind w:left="240"/>
            </w:pPr>
            <w:r>
              <w:t>8.38***</w:t>
            </w:r>
          </w:p>
        </w:tc>
        <w:tc>
          <w:tcPr>
            <w:tcW w:w="1567" w:type="dxa"/>
            <w:tcBorders>
              <w:top w:val="single" w:sz="8" w:space="0" w:color="C1C7CD"/>
              <w:left w:val="single" w:sz="8" w:space="0" w:color="C1C7CD"/>
            </w:tcBorders>
            <w:tcMar>
              <w:top w:w="75" w:type="dxa"/>
              <w:left w:w="120" w:type="dxa"/>
              <w:bottom w:w="75" w:type="dxa"/>
              <w:right w:w="120" w:type="dxa"/>
            </w:tcMar>
          </w:tcPr>
          <w:p w14:paraId="7C51CBCC" w14:textId="577E6EDC" w:rsidR="009E293B" w:rsidRDefault="009E293B">
            <w:pPr>
              <w:spacing w:after="0"/>
              <w:ind w:left="240"/>
            </w:pPr>
            <w:r>
              <w:rPr>
                <w:rFonts w:ascii="Cambria" w:hAnsi="Cambria"/>
                <w:color w:val="000000"/>
              </w:rPr>
              <w:t>5.48</w:t>
            </w:r>
          </w:p>
        </w:tc>
      </w:tr>
      <w:tr w:rsidR="009E293B" w14:paraId="271BABB1"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4B328190" w14:textId="77777777" w:rsidR="009E293B" w:rsidRDefault="009E293B">
            <w:pPr>
              <w:spacing w:after="0"/>
              <w:ind w:left="240"/>
            </w:pPr>
            <w:r>
              <w:rPr>
                <w:rFonts w:ascii="Cambria" w:hAnsi="Cambria"/>
                <w:color w:val="000000"/>
              </w:rPr>
              <w:t>Gifted</w:t>
            </w:r>
          </w:p>
        </w:tc>
        <w:tc>
          <w:tcPr>
            <w:tcW w:w="1668" w:type="dxa"/>
            <w:tcBorders>
              <w:top w:val="single" w:sz="8" w:space="0" w:color="C1C7CD"/>
              <w:left w:val="single" w:sz="8" w:space="0" w:color="C1C7CD"/>
            </w:tcBorders>
            <w:tcMar>
              <w:top w:w="75" w:type="dxa"/>
              <w:left w:w="120" w:type="dxa"/>
              <w:bottom w:w="75" w:type="dxa"/>
              <w:right w:w="120" w:type="dxa"/>
            </w:tcMar>
          </w:tcPr>
          <w:p w14:paraId="6BA1617A" w14:textId="788235A7" w:rsidR="009E293B" w:rsidRDefault="009E293B">
            <w:pPr>
              <w:spacing w:after="0"/>
              <w:ind w:left="240"/>
            </w:pPr>
            <w:r>
              <w:rPr>
                <w:rFonts w:ascii="Cambria" w:hAnsi="Cambria"/>
                <w:color w:val="000000"/>
              </w:rPr>
              <w:t>.037</w:t>
            </w:r>
          </w:p>
        </w:tc>
        <w:tc>
          <w:tcPr>
            <w:tcW w:w="1528" w:type="dxa"/>
            <w:tcBorders>
              <w:top w:val="single" w:sz="8" w:space="0" w:color="C1C7CD"/>
              <w:left w:val="single" w:sz="8" w:space="0" w:color="C1C7CD"/>
            </w:tcBorders>
            <w:tcMar>
              <w:top w:w="75" w:type="dxa"/>
              <w:left w:w="120" w:type="dxa"/>
              <w:bottom w:w="75" w:type="dxa"/>
              <w:right w:w="120" w:type="dxa"/>
            </w:tcMar>
          </w:tcPr>
          <w:p w14:paraId="2925824D" w14:textId="2DD0E643" w:rsidR="009E293B" w:rsidRDefault="009E293B">
            <w:pPr>
              <w:spacing w:after="0"/>
              <w:ind w:left="240"/>
            </w:pPr>
            <w:r>
              <w:rPr>
                <w:rFonts w:ascii="Cambria" w:hAnsi="Cambria"/>
                <w:color w:val="000000"/>
              </w:rPr>
              <w:t>.032</w:t>
            </w:r>
          </w:p>
        </w:tc>
        <w:tc>
          <w:tcPr>
            <w:tcW w:w="1673" w:type="dxa"/>
            <w:tcBorders>
              <w:top w:val="single" w:sz="8" w:space="0" w:color="C1C7CD"/>
              <w:left w:val="single" w:sz="8" w:space="0" w:color="C1C7CD"/>
            </w:tcBorders>
            <w:tcMar>
              <w:top w:w="75" w:type="dxa"/>
              <w:left w:w="120" w:type="dxa"/>
              <w:bottom w:w="75" w:type="dxa"/>
              <w:right w:w="120" w:type="dxa"/>
            </w:tcMar>
          </w:tcPr>
          <w:p w14:paraId="1F049CEA" w14:textId="6C423B9B" w:rsidR="009E293B" w:rsidRDefault="009E293B">
            <w:pPr>
              <w:spacing w:after="0"/>
              <w:ind w:left="240"/>
            </w:pPr>
            <w:r>
              <w:rPr>
                <w:rFonts w:ascii="Cambria" w:hAnsi="Cambria"/>
                <w:color w:val="000000"/>
              </w:rPr>
              <w:t>.025</w:t>
            </w:r>
          </w:p>
        </w:tc>
        <w:tc>
          <w:tcPr>
            <w:tcW w:w="1594" w:type="dxa"/>
            <w:tcBorders>
              <w:top w:val="single" w:sz="8" w:space="0" w:color="C1C7CD"/>
              <w:left w:val="single" w:sz="8" w:space="0" w:color="C1C7CD"/>
            </w:tcBorders>
            <w:tcMar>
              <w:top w:w="75" w:type="dxa"/>
              <w:left w:w="120" w:type="dxa"/>
              <w:bottom w:w="75" w:type="dxa"/>
              <w:right w:w="120" w:type="dxa"/>
            </w:tcMar>
          </w:tcPr>
          <w:p w14:paraId="0F0487CA" w14:textId="42E944AB" w:rsidR="009E293B" w:rsidRDefault="009E293B">
            <w:pPr>
              <w:spacing w:after="0"/>
              <w:ind w:left="240"/>
            </w:pPr>
            <w:r>
              <w:rPr>
                <w:rFonts w:ascii="Cambria" w:hAnsi="Cambria"/>
                <w:color w:val="000000"/>
              </w:rPr>
              <w:t>.051</w:t>
            </w:r>
          </w:p>
        </w:tc>
        <w:tc>
          <w:tcPr>
            <w:tcW w:w="1477" w:type="dxa"/>
            <w:tcBorders>
              <w:top w:val="single" w:sz="8" w:space="0" w:color="C1C7CD"/>
              <w:left w:val="single" w:sz="8" w:space="0" w:color="C1C7CD"/>
            </w:tcBorders>
            <w:tcMar>
              <w:top w:w="75" w:type="dxa"/>
              <w:left w:w="120" w:type="dxa"/>
              <w:bottom w:w="75" w:type="dxa"/>
              <w:right w:w="120" w:type="dxa"/>
            </w:tcMar>
          </w:tcPr>
          <w:p w14:paraId="3BDA0E80" w14:textId="00D7B0AD" w:rsidR="009E293B" w:rsidRDefault="009E293B">
            <w:pPr>
              <w:spacing w:after="0"/>
              <w:ind w:left="240"/>
            </w:pPr>
            <w:r>
              <w:rPr>
                <w:rFonts w:ascii="Cambria" w:hAnsi="Cambria"/>
                <w:color w:val="000000"/>
              </w:rPr>
              <w:t>.023</w:t>
            </w:r>
          </w:p>
        </w:tc>
        <w:tc>
          <w:tcPr>
            <w:tcW w:w="1567" w:type="dxa"/>
            <w:tcBorders>
              <w:top w:val="single" w:sz="8" w:space="0" w:color="C1C7CD"/>
              <w:left w:val="single" w:sz="8" w:space="0" w:color="C1C7CD"/>
            </w:tcBorders>
            <w:tcMar>
              <w:top w:w="75" w:type="dxa"/>
              <w:left w:w="120" w:type="dxa"/>
              <w:bottom w:w="75" w:type="dxa"/>
              <w:right w:w="120" w:type="dxa"/>
            </w:tcMar>
          </w:tcPr>
          <w:p w14:paraId="376B0E3B" w14:textId="69F5A1DA" w:rsidR="009E293B" w:rsidRDefault="009E293B">
            <w:pPr>
              <w:spacing w:after="0"/>
              <w:ind w:left="240"/>
            </w:pPr>
            <w:r>
              <w:rPr>
                <w:rFonts w:ascii="Cambria" w:hAnsi="Cambria"/>
                <w:color w:val="000000"/>
              </w:rPr>
              <w:t>.037</w:t>
            </w:r>
          </w:p>
        </w:tc>
      </w:tr>
      <w:tr w:rsidR="009E293B" w14:paraId="07BA2FB7" w14:textId="77777777" w:rsidTr="009E293B">
        <w:trPr>
          <w:trHeight w:val="465"/>
          <w:tblCellSpacing w:w="0" w:type="dxa"/>
        </w:trPr>
        <w:tc>
          <w:tcPr>
            <w:tcW w:w="1973" w:type="dxa"/>
            <w:tcBorders>
              <w:top w:val="single" w:sz="8" w:space="0" w:color="C1C7CD"/>
            </w:tcBorders>
            <w:tcMar>
              <w:top w:w="75" w:type="dxa"/>
              <w:left w:w="120" w:type="dxa"/>
              <w:bottom w:w="75" w:type="dxa"/>
              <w:right w:w="120" w:type="dxa"/>
            </w:tcMar>
          </w:tcPr>
          <w:p w14:paraId="6B966FB4" w14:textId="77777777" w:rsidR="009E293B" w:rsidRDefault="009E293B">
            <w:pPr>
              <w:spacing w:after="0"/>
              <w:ind w:left="240"/>
            </w:pPr>
            <w:r>
              <w:rPr>
                <w:rFonts w:ascii="Cambria" w:hAnsi="Cambria"/>
                <w:color w:val="000000"/>
              </w:rPr>
              <w:t>Special Needs</w:t>
            </w:r>
          </w:p>
        </w:tc>
        <w:tc>
          <w:tcPr>
            <w:tcW w:w="1668" w:type="dxa"/>
            <w:tcBorders>
              <w:top w:val="single" w:sz="8" w:space="0" w:color="C1C7CD"/>
              <w:left w:val="single" w:sz="8" w:space="0" w:color="C1C7CD"/>
            </w:tcBorders>
            <w:tcMar>
              <w:top w:w="75" w:type="dxa"/>
              <w:left w:w="120" w:type="dxa"/>
              <w:bottom w:w="75" w:type="dxa"/>
              <w:right w:w="120" w:type="dxa"/>
            </w:tcMar>
          </w:tcPr>
          <w:p w14:paraId="05483465" w14:textId="77777777" w:rsidR="009E293B" w:rsidRDefault="009E293B">
            <w:pPr>
              <w:spacing w:after="0"/>
              <w:ind w:left="240"/>
            </w:pPr>
            <w:r>
              <w:rPr>
                <w:rFonts w:ascii="Cambria" w:hAnsi="Cambria"/>
                <w:color w:val="000000"/>
              </w:rPr>
              <w:t>.034</w:t>
            </w:r>
          </w:p>
        </w:tc>
        <w:tc>
          <w:tcPr>
            <w:tcW w:w="1528" w:type="dxa"/>
            <w:tcBorders>
              <w:top w:val="single" w:sz="8" w:space="0" w:color="C1C7CD"/>
              <w:left w:val="single" w:sz="8" w:space="0" w:color="C1C7CD"/>
            </w:tcBorders>
            <w:tcMar>
              <w:top w:w="75" w:type="dxa"/>
              <w:left w:w="120" w:type="dxa"/>
              <w:bottom w:w="75" w:type="dxa"/>
              <w:right w:w="120" w:type="dxa"/>
            </w:tcMar>
          </w:tcPr>
          <w:p w14:paraId="3E0EBEAA" w14:textId="77777777" w:rsidR="009E293B" w:rsidRDefault="009E293B">
            <w:pPr>
              <w:spacing w:after="0"/>
              <w:ind w:left="240"/>
            </w:pPr>
            <w:r>
              <w:rPr>
                <w:rFonts w:ascii="Cambria" w:hAnsi="Cambria"/>
                <w:color w:val="000000"/>
              </w:rPr>
              <w:t>.048**</w:t>
            </w:r>
          </w:p>
        </w:tc>
        <w:tc>
          <w:tcPr>
            <w:tcW w:w="1673" w:type="dxa"/>
            <w:tcBorders>
              <w:top w:val="single" w:sz="8" w:space="0" w:color="C1C7CD"/>
              <w:left w:val="single" w:sz="8" w:space="0" w:color="C1C7CD"/>
            </w:tcBorders>
            <w:tcMar>
              <w:top w:w="75" w:type="dxa"/>
              <w:left w:w="120" w:type="dxa"/>
              <w:bottom w:w="75" w:type="dxa"/>
              <w:right w:w="120" w:type="dxa"/>
            </w:tcMar>
          </w:tcPr>
          <w:p w14:paraId="56B54D88" w14:textId="616DD193" w:rsidR="009E293B" w:rsidRDefault="009E293B">
            <w:pPr>
              <w:spacing w:after="0"/>
              <w:ind w:left="240"/>
            </w:pPr>
            <w:r>
              <w:rPr>
                <w:rFonts w:ascii="Cambria" w:hAnsi="Cambria"/>
                <w:color w:val="000000"/>
              </w:rPr>
              <w:t>.041</w:t>
            </w:r>
          </w:p>
        </w:tc>
        <w:tc>
          <w:tcPr>
            <w:tcW w:w="1594" w:type="dxa"/>
            <w:tcBorders>
              <w:top w:val="single" w:sz="8" w:space="0" w:color="C1C7CD"/>
              <w:left w:val="single" w:sz="8" w:space="0" w:color="C1C7CD"/>
            </w:tcBorders>
            <w:tcMar>
              <w:top w:w="75" w:type="dxa"/>
              <w:left w:w="120" w:type="dxa"/>
              <w:bottom w:w="75" w:type="dxa"/>
              <w:right w:w="120" w:type="dxa"/>
            </w:tcMar>
          </w:tcPr>
          <w:p w14:paraId="046C4914" w14:textId="77777777" w:rsidR="009E293B" w:rsidRDefault="009E293B">
            <w:pPr>
              <w:spacing w:after="0"/>
              <w:ind w:left="240"/>
            </w:pPr>
            <w:r>
              <w:rPr>
                <w:rFonts w:ascii="Cambria" w:hAnsi="Cambria"/>
                <w:color w:val="000000"/>
              </w:rPr>
              <w:t>.086***</w:t>
            </w:r>
          </w:p>
        </w:tc>
        <w:tc>
          <w:tcPr>
            <w:tcW w:w="1477" w:type="dxa"/>
            <w:tcBorders>
              <w:top w:val="single" w:sz="8" w:space="0" w:color="C1C7CD"/>
              <w:left w:val="single" w:sz="8" w:space="0" w:color="C1C7CD"/>
            </w:tcBorders>
            <w:tcMar>
              <w:top w:w="75" w:type="dxa"/>
              <w:left w:w="120" w:type="dxa"/>
              <w:bottom w:w="75" w:type="dxa"/>
              <w:right w:w="120" w:type="dxa"/>
            </w:tcMar>
          </w:tcPr>
          <w:p w14:paraId="493C429B" w14:textId="77777777" w:rsidR="009E293B" w:rsidRDefault="009E293B">
            <w:pPr>
              <w:spacing w:after="0"/>
              <w:ind w:left="240"/>
            </w:pPr>
            <w:r>
              <w:rPr>
                <w:rFonts w:ascii="Cambria" w:hAnsi="Cambria"/>
                <w:color w:val="000000"/>
              </w:rPr>
              <w:t>.040</w:t>
            </w:r>
          </w:p>
        </w:tc>
        <w:tc>
          <w:tcPr>
            <w:tcW w:w="1567" w:type="dxa"/>
            <w:tcBorders>
              <w:top w:val="single" w:sz="8" w:space="0" w:color="C1C7CD"/>
              <w:left w:val="single" w:sz="8" w:space="0" w:color="C1C7CD"/>
            </w:tcBorders>
            <w:tcMar>
              <w:top w:w="75" w:type="dxa"/>
              <w:left w:w="120" w:type="dxa"/>
              <w:bottom w:w="75" w:type="dxa"/>
              <w:right w:w="120" w:type="dxa"/>
            </w:tcMar>
          </w:tcPr>
          <w:p w14:paraId="27D412F2" w14:textId="3C8E9944" w:rsidR="009E293B" w:rsidRDefault="009E293B">
            <w:pPr>
              <w:spacing w:after="0"/>
              <w:ind w:left="240"/>
            </w:pPr>
            <w:r>
              <w:rPr>
                <w:rFonts w:ascii="Cambria" w:hAnsi="Cambria"/>
                <w:color w:val="000000"/>
              </w:rPr>
              <w:t>.000</w:t>
            </w:r>
          </w:p>
        </w:tc>
      </w:tr>
    </w:tbl>
    <w:p w14:paraId="0CC53F53" w14:textId="77777777" w:rsidR="00F14699" w:rsidRDefault="00F14699">
      <w:pPr>
        <w:spacing w:after="0"/>
        <w:ind w:left="120"/>
      </w:pPr>
    </w:p>
    <w:p w14:paraId="061AFD57" w14:textId="77777777" w:rsidR="00F14699" w:rsidRDefault="009238FB">
      <w:pPr>
        <w:spacing w:after="0"/>
        <w:ind w:left="120"/>
      </w:pPr>
      <w:r>
        <w:rPr>
          <w:rFonts w:ascii="Cambria" w:hAnsi="Cambria"/>
          <w:color w:val="000000"/>
        </w:rPr>
        <w:t>NOTE: * denotes 2 tailed t-test p&lt;.05, ** p&lt;.01, ***p&lt;.001; Mann-Whitney tests were also run and replicated the results above. </w:t>
      </w:r>
    </w:p>
    <w:p w14:paraId="5475B032" w14:textId="17AFB6F4" w:rsidR="00F14699" w:rsidRDefault="009238FB">
      <w:pPr>
        <w:spacing w:after="0"/>
        <w:ind w:left="120"/>
      </w:pPr>
      <w:r>
        <w:rPr>
          <w:rFonts w:ascii="Cambria" w:hAnsi="Cambria"/>
          <w:color w:val="000000"/>
        </w:rPr>
        <w:t>NOTE: 2</w:t>
      </w:r>
      <w:r>
        <w:rPr>
          <w:rFonts w:ascii="Cambria" w:hAnsi="Cambria"/>
          <w:color w:val="000000"/>
          <w:vertAlign w:val="superscript"/>
        </w:rPr>
        <w:t>nd</w:t>
      </w:r>
      <w:r>
        <w:rPr>
          <w:rFonts w:ascii="Cambria" w:hAnsi="Cambria"/>
          <w:color w:val="000000"/>
        </w:rPr>
        <w:t xml:space="preserve"> column t-tests compare to </w:t>
      </w:r>
      <w:r w:rsidR="009255FC">
        <w:rPr>
          <w:rFonts w:ascii="Cambria" w:hAnsi="Cambria"/>
          <w:color w:val="000000"/>
        </w:rPr>
        <w:t xml:space="preserve">all </w:t>
      </w:r>
      <w:r>
        <w:rPr>
          <w:rFonts w:ascii="Cambria" w:hAnsi="Cambria"/>
          <w:color w:val="000000"/>
        </w:rPr>
        <w:t xml:space="preserve">other </w:t>
      </w:r>
      <w:r w:rsidR="009255FC">
        <w:rPr>
          <w:rFonts w:ascii="Cambria" w:hAnsi="Cambria"/>
          <w:color w:val="000000"/>
        </w:rPr>
        <w:t xml:space="preserve">students, including other </w:t>
      </w:r>
      <w:r>
        <w:rPr>
          <w:rFonts w:ascii="Cambria" w:hAnsi="Cambria"/>
          <w:color w:val="000000"/>
        </w:rPr>
        <w:t>categories of transfer</w:t>
      </w:r>
      <w:r w:rsidR="009255FC">
        <w:rPr>
          <w:rFonts w:ascii="Cambria" w:hAnsi="Cambria"/>
          <w:color w:val="000000"/>
        </w:rPr>
        <w:t>s</w:t>
      </w:r>
    </w:p>
    <w:p w14:paraId="41F553D8" w14:textId="2815549B" w:rsidR="00F14699" w:rsidRDefault="009238FB">
      <w:pPr>
        <w:spacing w:after="0"/>
        <w:ind w:left="120"/>
        <w:rPr>
          <w:rFonts w:ascii="Cambria" w:hAnsi="Cambria"/>
          <w:color w:val="000000"/>
        </w:rPr>
      </w:pPr>
      <w:r>
        <w:rPr>
          <w:rFonts w:ascii="Cambria" w:hAnsi="Cambria"/>
          <w:color w:val="000000"/>
        </w:rPr>
        <w:t>NOTE: sample sizes for some demographic variables are smaller</w:t>
      </w:r>
      <w:r w:rsidR="009255FC">
        <w:rPr>
          <w:rFonts w:ascii="Cambria" w:hAnsi="Cambria"/>
          <w:color w:val="000000"/>
        </w:rPr>
        <w:t xml:space="preserve"> due to survey non-response</w:t>
      </w:r>
    </w:p>
    <w:p w14:paraId="555B8317" w14:textId="3ADCAE66" w:rsidR="00681D2E" w:rsidRDefault="00681D2E">
      <w:pPr>
        <w:spacing w:after="0"/>
        <w:ind w:left="120"/>
      </w:pPr>
      <w:r>
        <w:t>NOTE: due to their small numbers, no statistics included for 8 transfer students from private career colleges</w:t>
      </w:r>
    </w:p>
    <w:p w14:paraId="7B9E4B99" w14:textId="77777777" w:rsidR="00F14699" w:rsidRDefault="009238FB">
      <w:pPr>
        <w:spacing w:after="0"/>
        <w:ind w:left="120"/>
      </w:pPr>
      <w:r>
        <w:rPr>
          <w:rFonts w:ascii="Cambria" w:hAnsi="Cambria"/>
          <w:color w:val="000000"/>
        </w:rPr>
        <w:t> </w:t>
      </w:r>
    </w:p>
    <w:p w14:paraId="02C72D63" w14:textId="60D1A7B9" w:rsidR="00753F24" w:rsidRDefault="00067AC3">
      <w:pPr>
        <w:rPr>
          <w:rFonts w:ascii="Cambria" w:hAnsi="Cambria"/>
          <w:color w:val="000000"/>
        </w:rPr>
      </w:pPr>
      <w:r>
        <w:rPr>
          <w:rFonts w:ascii="Cambria" w:hAnsi="Cambria"/>
          <w:color w:val="000000"/>
        </w:rPr>
        <w:br w:type="page"/>
      </w:r>
      <w:r w:rsidR="00D243DB" w:rsidRPr="00D243DB">
        <w:rPr>
          <w:rFonts w:ascii="Cambria" w:hAnsi="Cambria"/>
          <w:noProof/>
          <w:color w:val="000000"/>
        </w:rPr>
        <w:lastRenderedPageBreak/>
        <w:drawing>
          <wp:inline distT="0" distB="0" distL="0" distR="0" wp14:anchorId="7E761018" wp14:editId="6B957C62">
            <wp:extent cx="5025390" cy="36576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14:paraId="58363821" w14:textId="77777777" w:rsidR="00753F24" w:rsidRDefault="00753F24">
      <w:pPr>
        <w:rPr>
          <w:rFonts w:ascii="Cambria" w:hAnsi="Cambria"/>
          <w:color w:val="000000"/>
        </w:rPr>
      </w:pPr>
      <w:r>
        <w:rPr>
          <w:rFonts w:ascii="Cambria" w:hAnsi="Cambria"/>
          <w:color w:val="000000"/>
        </w:rPr>
        <w:br w:type="page"/>
      </w:r>
    </w:p>
    <w:p w14:paraId="1E86604D" w14:textId="77777777" w:rsidR="00067AC3" w:rsidRDefault="00067AC3">
      <w:pPr>
        <w:rPr>
          <w:rFonts w:ascii="Cambria" w:hAnsi="Cambria"/>
          <w:color w:val="000000"/>
        </w:rPr>
      </w:pPr>
    </w:p>
    <w:p w14:paraId="2E24EBBC" w14:textId="0C2E51D1" w:rsidR="00067AC3" w:rsidRDefault="00067AC3" w:rsidP="00067AC3">
      <w:pPr>
        <w:spacing w:after="0"/>
        <w:ind w:left="120"/>
        <w:jc w:val="center"/>
      </w:pPr>
      <w:r>
        <w:rPr>
          <w:rFonts w:ascii="Cambria" w:hAnsi="Cambria"/>
          <w:b/>
          <w:color w:val="000000"/>
        </w:rPr>
        <w:t xml:space="preserve">Table </w:t>
      </w:r>
      <w:r w:rsidR="00FC2B70">
        <w:rPr>
          <w:rFonts w:ascii="Cambria" w:hAnsi="Cambria"/>
          <w:b/>
          <w:color w:val="000000"/>
        </w:rPr>
        <w:t>4</w:t>
      </w:r>
      <w:r>
        <w:rPr>
          <w:rFonts w:ascii="Cambria" w:hAnsi="Cambria"/>
          <w:b/>
          <w:color w:val="000000"/>
        </w:rPr>
        <w:t>: UofT Outcomes by Types of Transfer Students</w:t>
      </w:r>
    </w:p>
    <w:tbl>
      <w:tblPr>
        <w:tblW w:w="11971" w:type="dxa"/>
        <w:tblCellSpacing w:w="0" w:type="dxa"/>
        <w:tblInd w:w="-150"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1559"/>
        <w:gridCol w:w="1567"/>
        <w:gridCol w:w="1406"/>
        <w:gridCol w:w="1477"/>
        <w:gridCol w:w="1598"/>
        <w:gridCol w:w="1477"/>
        <w:gridCol w:w="1740"/>
        <w:gridCol w:w="1213"/>
      </w:tblGrid>
      <w:tr w:rsidR="00067AC3" w14:paraId="71ECF093" w14:textId="77777777" w:rsidTr="001070D7">
        <w:trPr>
          <w:trHeight w:val="450"/>
          <w:tblCellSpacing w:w="0" w:type="dxa"/>
        </w:trPr>
        <w:tc>
          <w:tcPr>
            <w:tcW w:w="1654" w:type="dxa"/>
            <w:tcMar>
              <w:top w:w="75" w:type="dxa"/>
              <w:left w:w="120" w:type="dxa"/>
              <w:bottom w:w="75" w:type="dxa"/>
              <w:right w:w="120" w:type="dxa"/>
            </w:tcMar>
          </w:tcPr>
          <w:p w14:paraId="59744AB0" w14:textId="77777777" w:rsidR="00067AC3" w:rsidRDefault="00067AC3" w:rsidP="009238FB">
            <w:pPr>
              <w:spacing w:after="0"/>
              <w:ind w:left="240"/>
            </w:pPr>
            <w:r>
              <w:rPr>
                <w:rFonts w:ascii="Cambria" w:hAnsi="Cambria"/>
                <w:color w:val="000000"/>
              </w:rPr>
              <w:t> </w:t>
            </w:r>
          </w:p>
        </w:tc>
        <w:tc>
          <w:tcPr>
            <w:tcW w:w="1406" w:type="dxa"/>
            <w:tcBorders>
              <w:left w:val="single" w:sz="8" w:space="0" w:color="C1C7CD"/>
            </w:tcBorders>
            <w:tcMar>
              <w:top w:w="75" w:type="dxa"/>
              <w:left w:w="120" w:type="dxa"/>
              <w:bottom w:w="75" w:type="dxa"/>
              <w:right w:w="120" w:type="dxa"/>
            </w:tcMar>
          </w:tcPr>
          <w:p w14:paraId="5D62260A" w14:textId="77777777" w:rsidR="00067AC3" w:rsidRDefault="00067AC3" w:rsidP="009238FB">
            <w:pPr>
              <w:spacing w:after="0"/>
              <w:ind w:left="240"/>
            </w:pPr>
            <w:r>
              <w:rPr>
                <w:rFonts w:ascii="Cambria" w:hAnsi="Cambria"/>
                <w:color w:val="000000"/>
              </w:rPr>
              <w:t>Non-Transfers</w:t>
            </w:r>
          </w:p>
          <w:p w14:paraId="195A4140" w14:textId="49A2D828" w:rsidR="00067AC3" w:rsidRDefault="00067AC3" w:rsidP="009238FB">
            <w:pPr>
              <w:spacing w:after="0"/>
              <w:ind w:left="240"/>
            </w:pPr>
            <w:r>
              <w:rPr>
                <w:rFonts w:ascii="Cambria" w:hAnsi="Cambria"/>
                <w:color w:val="000000"/>
              </w:rPr>
              <w:t>(n=</w:t>
            </w:r>
            <w:r w:rsidR="001070D7">
              <w:rPr>
                <w:rFonts w:ascii="Cambria" w:hAnsi="Cambria"/>
                <w:color w:val="000000"/>
              </w:rPr>
              <w:t>17,559</w:t>
            </w:r>
            <w:r>
              <w:rPr>
                <w:rFonts w:ascii="Cambria" w:hAnsi="Cambria"/>
                <w:color w:val="000000"/>
              </w:rPr>
              <w:t>)</w:t>
            </w:r>
          </w:p>
        </w:tc>
        <w:tc>
          <w:tcPr>
            <w:tcW w:w="1406" w:type="dxa"/>
            <w:tcBorders>
              <w:left w:val="single" w:sz="8" w:space="0" w:color="C1C7CD"/>
            </w:tcBorders>
            <w:tcMar>
              <w:top w:w="75" w:type="dxa"/>
              <w:left w:w="120" w:type="dxa"/>
              <w:bottom w:w="75" w:type="dxa"/>
              <w:right w:w="120" w:type="dxa"/>
            </w:tcMar>
          </w:tcPr>
          <w:p w14:paraId="3685F224" w14:textId="77777777" w:rsidR="00067AC3" w:rsidRDefault="00067AC3" w:rsidP="009238FB">
            <w:pPr>
              <w:spacing w:after="0"/>
              <w:ind w:left="240"/>
            </w:pPr>
            <w:r>
              <w:rPr>
                <w:rFonts w:ascii="Cambria" w:hAnsi="Cambria"/>
                <w:color w:val="000000"/>
              </w:rPr>
              <w:t>All Transfers</w:t>
            </w:r>
          </w:p>
          <w:p w14:paraId="4BA72A44" w14:textId="7BF197BD" w:rsidR="00067AC3" w:rsidRDefault="00067AC3" w:rsidP="009238FB">
            <w:pPr>
              <w:spacing w:after="0"/>
              <w:ind w:left="240"/>
            </w:pPr>
            <w:r>
              <w:rPr>
                <w:rFonts w:ascii="Cambria" w:hAnsi="Cambria"/>
                <w:color w:val="000000"/>
              </w:rPr>
              <w:t>(n=</w:t>
            </w:r>
            <w:r w:rsidR="001070D7">
              <w:rPr>
                <w:rFonts w:ascii="Cambria" w:hAnsi="Cambria"/>
                <w:color w:val="000000"/>
              </w:rPr>
              <w:t>279</w:t>
            </w:r>
            <w:r>
              <w:rPr>
                <w:rFonts w:ascii="Cambria" w:hAnsi="Cambria"/>
                <w:color w:val="000000"/>
              </w:rPr>
              <w:t>)</w:t>
            </w:r>
          </w:p>
        </w:tc>
        <w:tc>
          <w:tcPr>
            <w:tcW w:w="1477" w:type="dxa"/>
            <w:tcBorders>
              <w:left w:val="single" w:sz="8" w:space="0" w:color="C1C7CD"/>
            </w:tcBorders>
            <w:tcMar>
              <w:top w:w="75" w:type="dxa"/>
              <w:left w:w="120" w:type="dxa"/>
              <w:bottom w:w="75" w:type="dxa"/>
              <w:right w:w="120" w:type="dxa"/>
            </w:tcMar>
          </w:tcPr>
          <w:p w14:paraId="670D4EB7" w14:textId="280AE36C" w:rsidR="00067AC3" w:rsidRDefault="00067AC3" w:rsidP="009238FB">
            <w:pPr>
              <w:spacing w:after="0"/>
              <w:ind w:left="240"/>
            </w:pPr>
            <w:r>
              <w:rPr>
                <w:rFonts w:ascii="Cambria" w:hAnsi="Cambria"/>
                <w:color w:val="000000"/>
              </w:rPr>
              <w:t>Ontario University (n=</w:t>
            </w:r>
            <w:r w:rsidR="001070D7">
              <w:rPr>
                <w:rFonts w:ascii="Cambria" w:hAnsi="Cambria"/>
                <w:color w:val="000000"/>
              </w:rPr>
              <w:t>122</w:t>
            </w:r>
            <w:r>
              <w:rPr>
                <w:rFonts w:ascii="Cambria" w:hAnsi="Cambria"/>
                <w:color w:val="000000"/>
              </w:rPr>
              <w:t>)</w:t>
            </w:r>
          </w:p>
        </w:tc>
        <w:tc>
          <w:tcPr>
            <w:tcW w:w="1598" w:type="dxa"/>
            <w:tcBorders>
              <w:left w:val="single" w:sz="8" w:space="0" w:color="C1C7CD"/>
            </w:tcBorders>
            <w:tcMar>
              <w:top w:w="75" w:type="dxa"/>
              <w:left w:w="120" w:type="dxa"/>
              <w:bottom w:w="75" w:type="dxa"/>
              <w:right w:w="120" w:type="dxa"/>
            </w:tcMar>
          </w:tcPr>
          <w:p w14:paraId="04919E6C" w14:textId="61AECF3D" w:rsidR="00067AC3" w:rsidRDefault="00067AC3" w:rsidP="009238FB">
            <w:pPr>
              <w:spacing w:after="0"/>
              <w:ind w:left="240"/>
            </w:pPr>
            <w:r>
              <w:rPr>
                <w:rFonts w:ascii="Cambria" w:hAnsi="Cambria"/>
                <w:color w:val="000000"/>
              </w:rPr>
              <w:t>Ontario Community College (n=</w:t>
            </w:r>
            <w:r w:rsidR="001070D7">
              <w:rPr>
                <w:rFonts w:ascii="Cambria" w:hAnsi="Cambria"/>
                <w:color w:val="000000"/>
              </w:rPr>
              <w:t>78</w:t>
            </w:r>
            <w:r>
              <w:rPr>
                <w:rFonts w:ascii="Cambria" w:hAnsi="Cambria"/>
                <w:color w:val="000000"/>
              </w:rPr>
              <w:t>)</w:t>
            </w:r>
          </w:p>
        </w:tc>
        <w:tc>
          <w:tcPr>
            <w:tcW w:w="1477" w:type="dxa"/>
            <w:tcBorders>
              <w:left w:val="single" w:sz="8" w:space="0" w:color="C1C7CD"/>
            </w:tcBorders>
            <w:tcMar>
              <w:top w:w="75" w:type="dxa"/>
              <w:left w:w="120" w:type="dxa"/>
              <w:bottom w:w="75" w:type="dxa"/>
              <w:right w:w="120" w:type="dxa"/>
            </w:tcMar>
          </w:tcPr>
          <w:p w14:paraId="617743D7" w14:textId="654810F2" w:rsidR="00067AC3" w:rsidRDefault="00067AC3" w:rsidP="009238FB">
            <w:pPr>
              <w:spacing w:after="0"/>
              <w:ind w:left="240"/>
            </w:pPr>
            <w:r>
              <w:rPr>
                <w:rFonts w:ascii="Cambria" w:hAnsi="Cambria"/>
                <w:color w:val="000000"/>
              </w:rPr>
              <w:t>Canadian University (n=</w:t>
            </w:r>
            <w:r w:rsidR="001070D7">
              <w:rPr>
                <w:rFonts w:ascii="Cambria" w:hAnsi="Cambria"/>
                <w:color w:val="000000"/>
              </w:rPr>
              <w:t>44</w:t>
            </w:r>
            <w:r>
              <w:rPr>
                <w:rFonts w:ascii="Cambria" w:hAnsi="Cambria"/>
                <w:color w:val="000000"/>
              </w:rPr>
              <w:t>)</w:t>
            </w:r>
          </w:p>
        </w:tc>
        <w:tc>
          <w:tcPr>
            <w:tcW w:w="1740" w:type="dxa"/>
            <w:tcBorders>
              <w:left w:val="single" w:sz="8" w:space="0" w:color="C1C7CD"/>
            </w:tcBorders>
            <w:tcMar>
              <w:top w:w="75" w:type="dxa"/>
              <w:left w:w="120" w:type="dxa"/>
              <w:bottom w:w="75" w:type="dxa"/>
              <w:right w:w="120" w:type="dxa"/>
            </w:tcMar>
          </w:tcPr>
          <w:p w14:paraId="37726832" w14:textId="77777777" w:rsidR="00067AC3" w:rsidRDefault="00067AC3" w:rsidP="009238FB">
            <w:pPr>
              <w:spacing w:after="0"/>
              <w:ind w:left="240"/>
            </w:pPr>
            <w:r>
              <w:rPr>
                <w:rFonts w:ascii="Cambria" w:hAnsi="Cambria"/>
                <w:color w:val="000000"/>
              </w:rPr>
              <w:t>International University</w:t>
            </w:r>
          </w:p>
          <w:p w14:paraId="3B141EE1" w14:textId="7193E12F" w:rsidR="00067AC3" w:rsidRDefault="00067AC3" w:rsidP="009238FB">
            <w:pPr>
              <w:spacing w:after="0"/>
              <w:ind w:left="240"/>
            </w:pPr>
            <w:r>
              <w:rPr>
                <w:rFonts w:ascii="Cambria" w:hAnsi="Cambria"/>
                <w:color w:val="000000"/>
              </w:rPr>
              <w:t>(n=</w:t>
            </w:r>
            <w:r w:rsidR="001070D7">
              <w:rPr>
                <w:rFonts w:ascii="Cambria" w:hAnsi="Cambria"/>
                <w:color w:val="000000"/>
              </w:rPr>
              <w:t>27</w:t>
            </w:r>
            <w:r>
              <w:rPr>
                <w:rFonts w:ascii="Cambria" w:hAnsi="Cambria"/>
                <w:color w:val="000000"/>
              </w:rPr>
              <w:t>)</w:t>
            </w:r>
          </w:p>
        </w:tc>
        <w:tc>
          <w:tcPr>
            <w:tcW w:w="1213" w:type="dxa"/>
            <w:tcBorders>
              <w:left w:val="single" w:sz="8" w:space="0" w:color="C1C7CD"/>
            </w:tcBorders>
            <w:tcMar>
              <w:top w:w="75" w:type="dxa"/>
              <w:left w:w="120" w:type="dxa"/>
              <w:bottom w:w="75" w:type="dxa"/>
              <w:right w:w="120" w:type="dxa"/>
            </w:tcMar>
          </w:tcPr>
          <w:p w14:paraId="0DF179FA" w14:textId="77777777" w:rsidR="00067AC3" w:rsidRDefault="00067AC3" w:rsidP="009238FB">
            <w:pPr>
              <w:spacing w:after="0"/>
              <w:ind w:left="240"/>
            </w:pPr>
            <w:r>
              <w:rPr>
                <w:rFonts w:ascii="Cambria" w:hAnsi="Cambria"/>
                <w:color w:val="000000"/>
              </w:rPr>
              <w:t>PCC</w:t>
            </w:r>
          </w:p>
          <w:p w14:paraId="03E1364E" w14:textId="77777777" w:rsidR="00067AC3" w:rsidRDefault="00067AC3" w:rsidP="009238FB">
            <w:pPr>
              <w:spacing w:after="0"/>
              <w:ind w:left="240"/>
            </w:pPr>
            <w:r>
              <w:rPr>
                <w:rFonts w:ascii="Cambria" w:hAnsi="Cambria"/>
                <w:color w:val="000000"/>
              </w:rPr>
              <w:t>(n=16)</w:t>
            </w:r>
          </w:p>
        </w:tc>
      </w:tr>
      <w:tr w:rsidR="00067AC3" w14:paraId="01CD0DB6" w14:textId="77777777" w:rsidTr="001070D7">
        <w:trPr>
          <w:trHeight w:val="465"/>
          <w:tblCellSpacing w:w="0" w:type="dxa"/>
        </w:trPr>
        <w:tc>
          <w:tcPr>
            <w:tcW w:w="1654" w:type="dxa"/>
            <w:tcBorders>
              <w:top w:val="single" w:sz="8" w:space="0" w:color="C1C7CD"/>
            </w:tcBorders>
            <w:tcMar>
              <w:top w:w="75" w:type="dxa"/>
              <w:left w:w="120" w:type="dxa"/>
              <w:bottom w:w="75" w:type="dxa"/>
              <w:right w:w="120" w:type="dxa"/>
            </w:tcMar>
          </w:tcPr>
          <w:p w14:paraId="29D637FB" w14:textId="77777777" w:rsidR="00067AC3" w:rsidRDefault="00067AC3" w:rsidP="00067AC3">
            <w:pPr>
              <w:spacing w:after="0"/>
              <w:ind w:left="240"/>
              <w:jc w:val="both"/>
            </w:pPr>
            <w:r>
              <w:rPr>
                <w:rFonts w:ascii="Cambria" w:hAnsi="Cambria"/>
                <w:color w:val="000000"/>
              </w:rPr>
              <w:t>Final GPA</w:t>
            </w:r>
          </w:p>
        </w:tc>
        <w:tc>
          <w:tcPr>
            <w:tcW w:w="1406" w:type="dxa"/>
            <w:tcBorders>
              <w:top w:val="single" w:sz="8" w:space="0" w:color="C1C7CD"/>
              <w:left w:val="single" w:sz="8" w:space="0" w:color="C1C7CD"/>
            </w:tcBorders>
            <w:tcMar>
              <w:top w:w="75" w:type="dxa"/>
              <w:left w:w="120" w:type="dxa"/>
              <w:bottom w:w="75" w:type="dxa"/>
              <w:right w:w="120" w:type="dxa"/>
            </w:tcMar>
          </w:tcPr>
          <w:p w14:paraId="1A2E6656" w14:textId="6DFAF1E5" w:rsidR="00067AC3" w:rsidRDefault="00067AC3" w:rsidP="009238FB">
            <w:pPr>
              <w:spacing w:after="0"/>
              <w:ind w:left="240"/>
            </w:pPr>
            <w:r>
              <w:rPr>
                <w:rFonts w:ascii="Cambria" w:hAnsi="Cambria"/>
                <w:color w:val="000000"/>
              </w:rPr>
              <w:t>2.6</w:t>
            </w:r>
            <w:r w:rsidR="001070D7">
              <w:rPr>
                <w:rFonts w:ascii="Cambria" w:hAnsi="Cambria"/>
                <w:color w:val="000000"/>
              </w:rPr>
              <w:t>3</w:t>
            </w:r>
          </w:p>
        </w:tc>
        <w:tc>
          <w:tcPr>
            <w:tcW w:w="1406" w:type="dxa"/>
            <w:tcBorders>
              <w:top w:val="single" w:sz="8" w:space="0" w:color="C1C7CD"/>
              <w:left w:val="single" w:sz="8" w:space="0" w:color="C1C7CD"/>
            </w:tcBorders>
            <w:tcMar>
              <w:top w:w="75" w:type="dxa"/>
              <w:left w:w="120" w:type="dxa"/>
              <w:bottom w:w="75" w:type="dxa"/>
              <w:right w:w="120" w:type="dxa"/>
            </w:tcMar>
          </w:tcPr>
          <w:p w14:paraId="0118B608" w14:textId="17242695" w:rsidR="00067AC3" w:rsidRDefault="00067AC3" w:rsidP="009238FB">
            <w:pPr>
              <w:spacing w:after="0"/>
              <w:ind w:left="240"/>
            </w:pPr>
            <w:r>
              <w:rPr>
                <w:rFonts w:ascii="Cambria" w:hAnsi="Cambria"/>
                <w:color w:val="000000"/>
              </w:rPr>
              <w:t>2.</w:t>
            </w:r>
            <w:r w:rsidR="001070D7">
              <w:rPr>
                <w:rFonts w:ascii="Cambria" w:hAnsi="Cambria"/>
                <w:color w:val="000000"/>
              </w:rPr>
              <w:t>69</w:t>
            </w:r>
          </w:p>
        </w:tc>
        <w:tc>
          <w:tcPr>
            <w:tcW w:w="1477" w:type="dxa"/>
            <w:tcBorders>
              <w:top w:val="single" w:sz="8" w:space="0" w:color="C1C7CD"/>
              <w:left w:val="single" w:sz="8" w:space="0" w:color="C1C7CD"/>
            </w:tcBorders>
            <w:tcMar>
              <w:top w:w="75" w:type="dxa"/>
              <w:left w:w="120" w:type="dxa"/>
              <w:bottom w:w="75" w:type="dxa"/>
              <w:right w:w="120" w:type="dxa"/>
            </w:tcMar>
          </w:tcPr>
          <w:p w14:paraId="2C0BFAA5" w14:textId="119D5228" w:rsidR="00067AC3" w:rsidRDefault="00067AC3" w:rsidP="009238FB">
            <w:pPr>
              <w:spacing w:after="0"/>
              <w:ind w:left="240"/>
            </w:pPr>
            <w:r>
              <w:rPr>
                <w:rFonts w:ascii="Cambria" w:hAnsi="Cambria"/>
                <w:color w:val="000000"/>
              </w:rPr>
              <w:t>2.</w:t>
            </w:r>
            <w:r w:rsidR="001070D7">
              <w:rPr>
                <w:rFonts w:ascii="Cambria" w:hAnsi="Cambria"/>
                <w:color w:val="000000"/>
              </w:rPr>
              <w:t>79</w:t>
            </w:r>
            <w:r>
              <w:rPr>
                <w:rFonts w:ascii="Cambria" w:hAnsi="Cambria"/>
                <w:color w:val="000000"/>
              </w:rPr>
              <w:t>*</w:t>
            </w:r>
          </w:p>
        </w:tc>
        <w:tc>
          <w:tcPr>
            <w:tcW w:w="1598" w:type="dxa"/>
            <w:tcBorders>
              <w:top w:val="single" w:sz="8" w:space="0" w:color="C1C7CD"/>
              <w:left w:val="single" w:sz="8" w:space="0" w:color="C1C7CD"/>
            </w:tcBorders>
            <w:tcMar>
              <w:top w:w="75" w:type="dxa"/>
              <w:left w:w="120" w:type="dxa"/>
              <w:bottom w:w="75" w:type="dxa"/>
              <w:right w:w="120" w:type="dxa"/>
            </w:tcMar>
          </w:tcPr>
          <w:p w14:paraId="629B4616" w14:textId="6065F339" w:rsidR="00067AC3" w:rsidRDefault="00067AC3" w:rsidP="009238FB">
            <w:pPr>
              <w:spacing w:after="0"/>
              <w:ind w:left="240"/>
            </w:pPr>
            <w:r>
              <w:rPr>
                <w:rFonts w:ascii="Cambria" w:hAnsi="Cambria"/>
                <w:color w:val="000000"/>
              </w:rPr>
              <w:t>2.</w:t>
            </w:r>
            <w:r w:rsidR="001070D7">
              <w:rPr>
                <w:rFonts w:ascii="Cambria" w:hAnsi="Cambria"/>
                <w:color w:val="000000"/>
              </w:rPr>
              <w:t>48</w:t>
            </w:r>
          </w:p>
        </w:tc>
        <w:tc>
          <w:tcPr>
            <w:tcW w:w="1477" w:type="dxa"/>
            <w:tcBorders>
              <w:top w:val="single" w:sz="8" w:space="0" w:color="C1C7CD"/>
              <w:left w:val="single" w:sz="8" w:space="0" w:color="C1C7CD"/>
            </w:tcBorders>
            <w:tcMar>
              <w:top w:w="75" w:type="dxa"/>
              <w:left w:w="120" w:type="dxa"/>
              <w:bottom w:w="75" w:type="dxa"/>
              <w:right w:w="120" w:type="dxa"/>
            </w:tcMar>
          </w:tcPr>
          <w:p w14:paraId="79DC9D88" w14:textId="026C0B0B" w:rsidR="00067AC3" w:rsidRDefault="001070D7" w:rsidP="009238FB">
            <w:pPr>
              <w:spacing w:after="0"/>
              <w:ind w:left="240"/>
            </w:pPr>
            <w:r>
              <w:rPr>
                <w:rFonts w:ascii="Cambria" w:hAnsi="Cambria"/>
                <w:color w:val="000000"/>
              </w:rPr>
              <w:t>2</w:t>
            </w:r>
            <w:r w:rsidR="00067AC3">
              <w:rPr>
                <w:rFonts w:ascii="Cambria" w:hAnsi="Cambria"/>
                <w:color w:val="000000"/>
              </w:rPr>
              <w:t>.</w:t>
            </w:r>
            <w:r>
              <w:rPr>
                <w:rFonts w:ascii="Cambria" w:hAnsi="Cambria"/>
                <w:color w:val="000000"/>
              </w:rPr>
              <w:t>8</w:t>
            </w:r>
            <w:r w:rsidR="00067AC3">
              <w:rPr>
                <w:rFonts w:ascii="Cambria" w:hAnsi="Cambria"/>
                <w:color w:val="000000"/>
              </w:rPr>
              <w:t>7</w:t>
            </w:r>
          </w:p>
        </w:tc>
        <w:tc>
          <w:tcPr>
            <w:tcW w:w="1740" w:type="dxa"/>
            <w:tcBorders>
              <w:top w:val="single" w:sz="8" w:space="0" w:color="C1C7CD"/>
              <w:left w:val="single" w:sz="8" w:space="0" w:color="C1C7CD"/>
            </w:tcBorders>
            <w:tcMar>
              <w:top w:w="75" w:type="dxa"/>
              <w:left w:w="120" w:type="dxa"/>
              <w:bottom w:w="75" w:type="dxa"/>
              <w:right w:w="120" w:type="dxa"/>
            </w:tcMar>
          </w:tcPr>
          <w:p w14:paraId="1F946358" w14:textId="6130A28B" w:rsidR="00067AC3" w:rsidRDefault="00067AC3" w:rsidP="009238FB">
            <w:pPr>
              <w:spacing w:after="0"/>
              <w:ind w:left="240"/>
            </w:pPr>
            <w:r>
              <w:rPr>
                <w:rFonts w:ascii="Cambria" w:hAnsi="Cambria"/>
                <w:color w:val="000000"/>
              </w:rPr>
              <w:t>2.</w:t>
            </w:r>
            <w:r w:rsidR="001070D7">
              <w:rPr>
                <w:rFonts w:ascii="Cambria" w:hAnsi="Cambria"/>
                <w:color w:val="000000"/>
              </w:rPr>
              <w:t>69</w:t>
            </w:r>
          </w:p>
        </w:tc>
        <w:tc>
          <w:tcPr>
            <w:tcW w:w="1213" w:type="dxa"/>
            <w:tcBorders>
              <w:top w:val="single" w:sz="8" w:space="0" w:color="C1C7CD"/>
              <w:left w:val="single" w:sz="8" w:space="0" w:color="C1C7CD"/>
            </w:tcBorders>
            <w:tcMar>
              <w:top w:w="75" w:type="dxa"/>
              <w:left w:w="120" w:type="dxa"/>
              <w:bottom w:w="75" w:type="dxa"/>
              <w:right w:w="120" w:type="dxa"/>
            </w:tcMar>
          </w:tcPr>
          <w:p w14:paraId="1AB3E10A" w14:textId="77777777" w:rsidR="00067AC3" w:rsidRDefault="00067AC3" w:rsidP="009238FB">
            <w:pPr>
              <w:spacing w:after="0"/>
              <w:ind w:left="240"/>
            </w:pPr>
            <w:r>
              <w:rPr>
                <w:rFonts w:ascii="Cambria" w:hAnsi="Cambria"/>
                <w:color w:val="000000"/>
              </w:rPr>
              <w:t>1.79***</w:t>
            </w:r>
          </w:p>
        </w:tc>
      </w:tr>
      <w:tr w:rsidR="00067AC3" w14:paraId="4DFB218D" w14:textId="77777777" w:rsidTr="001070D7">
        <w:trPr>
          <w:trHeight w:val="465"/>
          <w:tblCellSpacing w:w="0" w:type="dxa"/>
        </w:trPr>
        <w:tc>
          <w:tcPr>
            <w:tcW w:w="1654" w:type="dxa"/>
            <w:tcBorders>
              <w:top w:val="single" w:sz="8" w:space="0" w:color="C1C7CD"/>
            </w:tcBorders>
            <w:tcMar>
              <w:top w:w="75" w:type="dxa"/>
              <w:left w:w="120" w:type="dxa"/>
              <w:bottom w:w="75" w:type="dxa"/>
              <w:right w:w="120" w:type="dxa"/>
            </w:tcMar>
          </w:tcPr>
          <w:p w14:paraId="3293A0C3" w14:textId="4DE1F2FF" w:rsidR="00067AC3" w:rsidRDefault="00067AC3" w:rsidP="00067AC3">
            <w:pPr>
              <w:spacing w:after="0"/>
              <w:ind w:left="240"/>
              <w:jc w:val="both"/>
            </w:pPr>
            <w:r>
              <w:rPr>
                <w:rFonts w:ascii="Cambria" w:hAnsi="Cambria"/>
                <w:color w:val="000000"/>
              </w:rPr>
              <w:t>Total Credits</w:t>
            </w:r>
            <w:r w:rsidR="009E293B">
              <w:rPr>
                <w:rFonts w:ascii="Cambria" w:hAnsi="Cambria"/>
                <w:color w:val="000000"/>
              </w:rPr>
              <w:t xml:space="preserve"> </w:t>
            </w:r>
            <w:r w:rsidR="00201029">
              <w:rPr>
                <w:rFonts w:ascii="Cambria" w:hAnsi="Cambria"/>
                <w:color w:val="000000"/>
              </w:rPr>
              <w:t>at UofT</w:t>
            </w:r>
          </w:p>
        </w:tc>
        <w:tc>
          <w:tcPr>
            <w:tcW w:w="1406" w:type="dxa"/>
            <w:tcBorders>
              <w:top w:val="single" w:sz="8" w:space="0" w:color="C1C7CD"/>
              <w:left w:val="single" w:sz="8" w:space="0" w:color="C1C7CD"/>
            </w:tcBorders>
            <w:tcMar>
              <w:top w:w="75" w:type="dxa"/>
              <w:left w:w="120" w:type="dxa"/>
              <w:bottom w:w="75" w:type="dxa"/>
              <w:right w:w="120" w:type="dxa"/>
            </w:tcMar>
          </w:tcPr>
          <w:p w14:paraId="648B21AC" w14:textId="523B415B" w:rsidR="00067AC3" w:rsidRDefault="00067AC3" w:rsidP="009238FB">
            <w:pPr>
              <w:spacing w:after="0"/>
              <w:ind w:left="240"/>
            </w:pPr>
            <w:r>
              <w:rPr>
                <w:rFonts w:ascii="Cambria" w:hAnsi="Cambria"/>
                <w:color w:val="000000"/>
              </w:rPr>
              <w:t>18.</w:t>
            </w:r>
            <w:r w:rsidR="00201029">
              <w:rPr>
                <w:rFonts w:ascii="Cambria" w:hAnsi="Cambria"/>
                <w:color w:val="000000"/>
              </w:rPr>
              <w:t>1</w:t>
            </w:r>
          </w:p>
        </w:tc>
        <w:tc>
          <w:tcPr>
            <w:tcW w:w="1406" w:type="dxa"/>
            <w:tcBorders>
              <w:top w:val="single" w:sz="8" w:space="0" w:color="C1C7CD"/>
              <w:left w:val="single" w:sz="8" w:space="0" w:color="C1C7CD"/>
            </w:tcBorders>
            <w:tcMar>
              <w:top w:w="75" w:type="dxa"/>
              <w:left w:w="120" w:type="dxa"/>
              <w:bottom w:w="75" w:type="dxa"/>
              <w:right w:w="120" w:type="dxa"/>
            </w:tcMar>
          </w:tcPr>
          <w:p w14:paraId="4897A33E" w14:textId="4D541C0F" w:rsidR="00067AC3" w:rsidRDefault="00067AC3" w:rsidP="009238FB">
            <w:pPr>
              <w:spacing w:after="0"/>
              <w:ind w:left="240"/>
            </w:pPr>
            <w:r>
              <w:rPr>
                <w:rFonts w:ascii="Cambria" w:hAnsi="Cambria"/>
                <w:color w:val="000000"/>
              </w:rPr>
              <w:t>1</w:t>
            </w:r>
            <w:r w:rsidR="00201029">
              <w:rPr>
                <w:rFonts w:ascii="Cambria" w:hAnsi="Cambria"/>
                <w:color w:val="000000"/>
              </w:rPr>
              <w:t>4</w:t>
            </w:r>
            <w:r>
              <w:rPr>
                <w:rFonts w:ascii="Cambria" w:hAnsi="Cambria"/>
                <w:color w:val="000000"/>
              </w:rPr>
              <w:t>.</w:t>
            </w:r>
            <w:r w:rsidR="00201029">
              <w:rPr>
                <w:rFonts w:ascii="Cambria" w:hAnsi="Cambria"/>
                <w:color w:val="000000"/>
              </w:rPr>
              <w:t>1</w:t>
            </w:r>
            <w:r>
              <w:rPr>
                <w:rFonts w:ascii="Cambria" w:hAnsi="Cambria"/>
                <w:color w:val="000000"/>
              </w:rPr>
              <w:t>***</w:t>
            </w:r>
          </w:p>
        </w:tc>
        <w:tc>
          <w:tcPr>
            <w:tcW w:w="1477" w:type="dxa"/>
            <w:tcBorders>
              <w:top w:val="single" w:sz="8" w:space="0" w:color="C1C7CD"/>
              <w:left w:val="single" w:sz="8" w:space="0" w:color="C1C7CD"/>
            </w:tcBorders>
            <w:tcMar>
              <w:top w:w="75" w:type="dxa"/>
              <w:left w:w="120" w:type="dxa"/>
              <w:bottom w:w="75" w:type="dxa"/>
              <w:right w:w="120" w:type="dxa"/>
            </w:tcMar>
          </w:tcPr>
          <w:p w14:paraId="7C5E609B" w14:textId="369E89BC" w:rsidR="00067AC3" w:rsidRDefault="00067AC3" w:rsidP="009238FB">
            <w:pPr>
              <w:spacing w:after="0"/>
              <w:ind w:left="240"/>
            </w:pPr>
            <w:r>
              <w:rPr>
                <w:rFonts w:ascii="Cambria" w:hAnsi="Cambria"/>
                <w:color w:val="000000"/>
              </w:rPr>
              <w:t>1</w:t>
            </w:r>
            <w:r w:rsidR="00201029">
              <w:rPr>
                <w:rFonts w:ascii="Cambria" w:hAnsi="Cambria"/>
                <w:color w:val="000000"/>
              </w:rPr>
              <w:t>4</w:t>
            </w:r>
            <w:r>
              <w:rPr>
                <w:rFonts w:ascii="Cambria" w:hAnsi="Cambria"/>
                <w:color w:val="000000"/>
              </w:rPr>
              <w:t>.</w:t>
            </w:r>
            <w:r w:rsidR="00201029">
              <w:rPr>
                <w:rFonts w:ascii="Cambria" w:hAnsi="Cambria"/>
                <w:color w:val="000000"/>
              </w:rPr>
              <w:t>4</w:t>
            </w:r>
            <w:r>
              <w:rPr>
                <w:rFonts w:ascii="Cambria" w:hAnsi="Cambria"/>
                <w:color w:val="000000"/>
              </w:rPr>
              <w:t>***</w:t>
            </w:r>
          </w:p>
        </w:tc>
        <w:tc>
          <w:tcPr>
            <w:tcW w:w="1598" w:type="dxa"/>
            <w:tcBorders>
              <w:top w:val="single" w:sz="8" w:space="0" w:color="C1C7CD"/>
              <w:left w:val="single" w:sz="8" w:space="0" w:color="C1C7CD"/>
            </w:tcBorders>
            <w:tcMar>
              <w:top w:w="75" w:type="dxa"/>
              <w:left w:w="120" w:type="dxa"/>
              <w:bottom w:w="75" w:type="dxa"/>
              <w:right w:w="120" w:type="dxa"/>
            </w:tcMar>
          </w:tcPr>
          <w:p w14:paraId="4BAD0767" w14:textId="2A4D54AF" w:rsidR="00067AC3" w:rsidRDefault="00067AC3" w:rsidP="009238FB">
            <w:pPr>
              <w:spacing w:after="0"/>
              <w:ind w:left="240"/>
            </w:pPr>
            <w:r>
              <w:rPr>
                <w:rFonts w:ascii="Cambria" w:hAnsi="Cambria"/>
                <w:color w:val="000000"/>
              </w:rPr>
              <w:t>1</w:t>
            </w:r>
            <w:r w:rsidR="00201029">
              <w:rPr>
                <w:rFonts w:ascii="Cambria" w:hAnsi="Cambria"/>
                <w:color w:val="000000"/>
              </w:rPr>
              <w:t>3</w:t>
            </w:r>
            <w:r>
              <w:rPr>
                <w:rFonts w:ascii="Cambria" w:hAnsi="Cambria"/>
                <w:color w:val="000000"/>
              </w:rPr>
              <w:t>.</w:t>
            </w:r>
            <w:r w:rsidR="00201029">
              <w:rPr>
                <w:rFonts w:ascii="Cambria" w:hAnsi="Cambria"/>
                <w:color w:val="000000"/>
              </w:rPr>
              <w:t>3</w:t>
            </w:r>
            <w:r>
              <w:rPr>
                <w:rFonts w:ascii="Cambria" w:hAnsi="Cambria"/>
                <w:color w:val="000000"/>
              </w:rPr>
              <w:t>***</w:t>
            </w:r>
          </w:p>
        </w:tc>
        <w:tc>
          <w:tcPr>
            <w:tcW w:w="1477" w:type="dxa"/>
            <w:tcBorders>
              <w:top w:val="single" w:sz="8" w:space="0" w:color="C1C7CD"/>
              <w:left w:val="single" w:sz="8" w:space="0" w:color="C1C7CD"/>
            </w:tcBorders>
            <w:tcMar>
              <w:top w:w="75" w:type="dxa"/>
              <w:left w:w="120" w:type="dxa"/>
              <w:bottom w:w="75" w:type="dxa"/>
              <w:right w:w="120" w:type="dxa"/>
            </w:tcMar>
          </w:tcPr>
          <w:p w14:paraId="4801E63D" w14:textId="3EF84DE3" w:rsidR="00067AC3" w:rsidRDefault="00067AC3" w:rsidP="009238FB">
            <w:pPr>
              <w:spacing w:after="0"/>
              <w:ind w:left="240"/>
            </w:pPr>
            <w:r>
              <w:rPr>
                <w:rFonts w:ascii="Cambria" w:hAnsi="Cambria"/>
                <w:color w:val="000000"/>
              </w:rPr>
              <w:t>13.</w:t>
            </w:r>
            <w:r w:rsidR="00201029">
              <w:rPr>
                <w:rFonts w:ascii="Cambria" w:hAnsi="Cambria"/>
                <w:color w:val="000000"/>
              </w:rPr>
              <w:t>4</w:t>
            </w:r>
            <w:r>
              <w:rPr>
                <w:rFonts w:ascii="Cambria" w:hAnsi="Cambria"/>
                <w:color w:val="000000"/>
              </w:rPr>
              <w:t>***</w:t>
            </w:r>
          </w:p>
        </w:tc>
        <w:tc>
          <w:tcPr>
            <w:tcW w:w="1740" w:type="dxa"/>
            <w:tcBorders>
              <w:top w:val="single" w:sz="8" w:space="0" w:color="C1C7CD"/>
              <w:left w:val="single" w:sz="8" w:space="0" w:color="C1C7CD"/>
            </w:tcBorders>
            <w:tcMar>
              <w:top w:w="75" w:type="dxa"/>
              <w:left w:w="120" w:type="dxa"/>
              <w:bottom w:w="75" w:type="dxa"/>
              <w:right w:w="120" w:type="dxa"/>
            </w:tcMar>
          </w:tcPr>
          <w:p w14:paraId="0BEA9A9D" w14:textId="4E411055" w:rsidR="00067AC3" w:rsidRDefault="00067AC3" w:rsidP="009238FB">
            <w:pPr>
              <w:spacing w:after="0"/>
              <w:ind w:left="240"/>
            </w:pPr>
            <w:r>
              <w:rPr>
                <w:rFonts w:ascii="Cambria" w:hAnsi="Cambria"/>
                <w:color w:val="000000"/>
              </w:rPr>
              <w:t>1</w:t>
            </w:r>
            <w:r w:rsidR="00201029">
              <w:rPr>
                <w:rFonts w:ascii="Cambria" w:hAnsi="Cambria"/>
                <w:color w:val="000000"/>
              </w:rPr>
              <w:t>5</w:t>
            </w:r>
            <w:r>
              <w:rPr>
                <w:rFonts w:ascii="Cambria" w:hAnsi="Cambria"/>
                <w:color w:val="000000"/>
              </w:rPr>
              <w:t>.</w:t>
            </w:r>
            <w:r w:rsidR="00201029">
              <w:rPr>
                <w:rFonts w:ascii="Cambria" w:hAnsi="Cambria"/>
                <w:color w:val="000000"/>
              </w:rPr>
              <w:t>3</w:t>
            </w:r>
            <w:r>
              <w:rPr>
                <w:rFonts w:ascii="Cambria" w:hAnsi="Cambria"/>
                <w:color w:val="000000"/>
              </w:rPr>
              <w:t>*</w:t>
            </w:r>
          </w:p>
        </w:tc>
        <w:tc>
          <w:tcPr>
            <w:tcW w:w="1213" w:type="dxa"/>
            <w:tcBorders>
              <w:top w:val="single" w:sz="8" w:space="0" w:color="C1C7CD"/>
              <w:left w:val="single" w:sz="8" w:space="0" w:color="C1C7CD"/>
            </w:tcBorders>
            <w:tcMar>
              <w:top w:w="75" w:type="dxa"/>
              <w:left w:w="120" w:type="dxa"/>
              <w:bottom w:w="75" w:type="dxa"/>
              <w:right w:w="120" w:type="dxa"/>
            </w:tcMar>
          </w:tcPr>
          <w:p w14:paraId="423A3474" w14:textId="77777777" w:rsidR="00067AC3" w:rsidRDefault="00067AC3" w:rsidP="009238FB">
            <w:pPr>
              <w:spacing w:after="0"/>
              <w:ind w:left="240"/>
            </w:pPr>
            <w:r>
              <w:rPr>
                <w:rFonts w:ascii="Cambria" w:hAnsi="Cambria"/>
                <w:color w:val="000000"/>
              </w:rPr>
              <w:t>11.9**</w:t>
            </w:r>
          </w:p>
        </w:tc>
      </w:tr>
      <w:tr w:rsidR="00201029" w14:paraId="0B80111A" w14:textId="77777777" w:rsidTr="001070D7">
        <w:trPr>
          <w:trHeight w:val="465"/>
          <w:tblCellSpacing w:w="0" w:type="dxa"/>
        </w:trPr>
        <w:tc>
          <w:tcPr>
            <w:tcW w:w="1654" w:type="dxa"/>
            <w:tcBorders>
              <w:top w:val="single" w:sz="8" w:space="0" w:color="C1C7CD"/>
            </w:tcBorders>
            <w:tcMar>
              <w:top w:w="75" w:type="dxa"/>
              <w:left w:w="120" w:type="dxa"/>
              <w:bottom w:w="75" w:type="dxa"/>
              <w:right w:w="120" w:type="dxa"/>
            </w:tcMar>
          </w:tcPr>
          <w:p w14:paraId="3B855F34" w14:textId="45368B26" w:rsidR="00201029" w:rsidRDefault="00201029" w:rsidP="00067AC3">
            <w:pPr>
              <w:spacing w:after="0"/>
              <w:ind w:left="240"/>
              <w:jc w:val="both"/>
              <w:rPr>
                <w:rFonts w:ascii="Cambria" w:hAnsi="Cambria"/>
                <w:color w:val="000000"/>
              </w:rPr>
            </w:pPr>
            <w:r>
              <w:rPr>
                <w:rFonts w:ascii="Cambria" w:hAnsi="Cambria"/>
                <w:color w:val="000000"/>
              </w:rPr>
              <w:t>Total Credits Including Awarded Transfers</w:t>
            </w:r>
          </w:p>
        </w:tc>
        <w:tc>
          <w:tcPr>
            <w:tcW w:w="1406" w:type="dxa"/>
            <w:tcBorders>
              <w:top w:val="single" w:sz="8" w:space="0" w:color="C1C7CD"/>
              <w:left w:val="single" w:sz="8" w:space="0" w:color="C1C7CD"/>
            </w:tcBorders>
            <w:tcMar>
              <w:top w:w="75" w:type="dxa"/>
              <w:left w:w="120" w:type="dxa"/>
              <w:bottom w:w="75" w:type="dxa"/>
              <w:right w:w="120" w:type="dxa"/>
            </w:tcMar>
          </w:tcPr>
          <w:p w14:paraId="06A2293B" w14:textId="0100A0D9" w:rsidR="00201029" w:rsidRDefault="00201029" w:rsidP="009238FB">
            <w:pPr>
              <w:spacing w:after="0"/>
              <w:ind w:left="240"/>
              <w:rPr>
                <w:rFonts w:ascii="Cambria" w:hAnsi="Cambria"/>
                <w:color w:val="000000"/>
              </w:rPr>
            </w:pPr>
            <w:r>
              <w:rPr>
                <w:rFonts w:ascii="Cambria" w:hAnsi="Cambria"/>
                <w:color w:val="000000"/>
              </w:rPr>
              <w:t>18.5</w:t>
            </w:r>
          </w:p>
        </w:tc>
        <w:tc>
          <w:tcPr>
            <w:tcW w:w="1406" w:type="dxa"/>
            <w:tcBorders>
              <w:top w:val="single" w:sz="8" w:space="0" w:color="C1C7CD"/>
              <w:left w:val="single" w:sz="8" w:space="0" w:color="C1C7CD"/>
            </w:tcBorders>
            <w:tcMar>
              <w:top w:w="75" w:type="dxa"/>
              <w:left w:w="120" w:type="dxa"/>
              <w:bottom w:w="75" w:type="dxa"/>
              <w:right w:w="120" w:type="dxa"/>
            </w:tcMar>
          </w:tcPr>
          <w:p w14:paraId="16148006" w14:textId="41CAC74D" w:rsidR="00201029" w:rsidRDefault="00201029" w:rsidP="009238FB">
            <w:pPr>
              <w:spacing w:after="0"/>
              <w:ind w:left="240"/>
              <w:rPr>
                <w:rFonts w:ascii="Cambria" w:hAnsi="Cambria"/>
                <w:color w:val="000000"/>
              </w:rPr>
            </w:pPr>
            <w:r>
              <w:rPr>
                <w:rFonts w:ascii="Cambria" w:hAnsi="Cambria"/>
                <w:color w:val="000000"/>
              </w:rPr>
              <w:t>18.1</w:t>
            </w:r>
          </w:p>
        </w:tc>
        <w:tc>
          <w:tcPr>
            <w:tcW w:w="1477" w:type="dxa"/>
            <w:tcBorders>
              <w:top w:val="single" w:sz="8" w:space="0" w:color="C1C7CD"/>
              <w:left w:val="single" w:sz="8" w:space="0" w:color="C1C7CD"/>
            </w:tcBorders>
            <w:tcMar>
              <w:top w:w="75" w:type="dxa"/>
              <w:left w:w="120" w:type="dxa"/>
              <w:bottom w:w="75" w:type="dxa"/>
              <w:right w:w="120" w:type="dxa"/>
            </w:tcMar>
          </w:tcPr>
          <w:p w14:paraId="2B801383" w14:textId="1DEF957B" w:rsidR="00201029" w:rsidRDefault="00201029" w:rsidP="009238FB">
            <w:pPr>
              <w:spacing w:after="0"/>
              <w:ind w:left="240"/>
              <w:rPr>
                <w:rFonts w:ascii="Cambria" w:hAnsi="Cambria"/>
                <w:color w:val="000000"/>
              </w:rPr>
            </w:pPr>
            <w:r>
              <w:rPr>
                <w:rFonts w:ascii="Cambria" w:hAnsi="Cambria"/>
                <w:color w:val="000000"/>
              </w:rPr>
              <w:t>19.1</w:t>
            </w:r>
          </w:p>
        </w:tc>
        <w:tc>
          <w:tcPr>
            <w:tcW w:w="1598" w:type="dxa"/>
            <w:tcBorders>
              <w:top w:val="single" w:sz="8" w:space="0" w:color="C1C7CD"/>
              <w:left w:val="single" w:sz="8" w:space="0" w:color="C1C7CD"/>
            </w:tcBorders>
            <w:tcMar>
              <w:top w:w="75" w:type="dxa"/>
              <w:left w:w="120" w:type="dxa"/>
              <w:bottom w:w="75" w:type="dxa"/>
              <w:right w:w="120" w:type="dxa"/>
            </w:tcMar>
          </w:tcPr>
          <w:p w14:paraId="6B795E4E" w14:textId="465E1EFC" w:rsidR="00201029" w:rsidRDefault="00201029" w:rsidP="009238FB">
            <w:pPr>
              <w:spacing w:after="0"/>
              <w:ind w:left="240"/>
              <w:rPr>
                <w:rFonts w:ascii="Cambria" w:hAnsi="Cambria"/>
                <w:color w:val="000000"/>
              </w:rPr>
            </w:pPr>
            <w:r>
              <w:rPr>
                <w:rFonts w:ascii="Cambria" w:hAnsi="Cambria"/>
                <w:color w:val="000000"/>
              </w:rPr>
              <w:t>15.</w:t>
            </w:r>
            <w:r w:rsidR="006B3ADC">
              <w:rPr>
                <w:rFonts w:ascii="Cambria" w:hAnsi="Cambria"/>
                <w:color w:val="000000"/>
              </w:rPr>
              <w:t>9**</w:t>
            </w:r>
          </w:p>
        </w:tc>
        <w:tc>
          <w:tcPr>
            <w:tcW w:w="1477" w:type="dxa"/>
            <w:tcBorders>
              <w:top w:val="single" w:sz="8" w:space="0" w:color="C1C7CD"/>
              <w:left w:val="single" w:sz="8" w:space="0" w:color="C1C7CD"/>
            </w:tcBorders>
            <w:tcMar>
              <w:top w:w="75" w:type="dxa"/>
              <w:left w:w="120" w:type="dxa"/>
              <w:bottom w:w="75" w:type="dxa"/>
              <w:right w:w="120" w:type="dxa"/>
            </w:tcMar>
          </w:tcPr>
          <w:p w14:paraId="2A23CEBF" w14:textId="33C55AC9" w:rsidR="00201029" w:rsidRDefault="006B3ADC" w:rsidP="009238FB">
            <w:pPr>
              <w:spacing w:after="0"/>
              <w:ind w:left="240"/>
              <w:rPr>
                <w:rFonts w:ascii="Cambria" w:hAnsi="Cambria"/>
                <w:color w:val="000000"/>
              </w:rPr>
            </w:pPr>
            <w:r>
              <w:rPr>
                <w:rFonts w:ascii="Cambria" w:hAnsi="Cambria"/>
                <w:color w:val="000000"/>
              </w:rPr>
              <w:t>19.2</w:t>
            </w:r>
          </w:p>
        </w:tc>
        <w:tc>
          <w:tcPr>
            <w:tcW w:w="1740" w:type="dxa"/>
            <w:tcBorders>
              <w:top w:val="single" w:sz="8" w:space="0" w:color="C1C7CD"/>
              <w:left w:val="single" w:sz="8" w:space="0" w:color="C1C7CD"/>
            </w:tcBorders>
            <w:tcMar>
              <w:top w:w="75" w:type="dxa"/>
              <w:left w:w="120" w:type="dxa"/>
              <w:bottom w:w="75" w:type="dxa"/>
              <w:right w:w="120" w:type="dxa"/>
            </w:tcMar>
          </w:tcPr>
          <w:p w14:paraId="3ABF4B55" w14:textId="1BE2B84C" w:rsidR="00201029" w:rsidRDefault="006B3ADC" w:rsidP="009238FB">
            <w:pPr>
              <w:spacing w:after="0"/>
              <w:ind w:left="240"/>
              <w:rPr>
                <w:rFonts w:ascii="Cambria" w:hAnsi="Cambria"/>
                <w:color w:val="000000"/>
              </w:rPr>
            </w:pPr>
            <w:r>
              <w:rPr>
                <w:rFonts w:ascii="Cambria" w:hAnsi="Cambria"/>
                <w:color w:val="000000"/>
              </w:rPr>
              <w:t>19.2</w:t>
            </w:r>
          </w:p>
        </w:tc>
        <w:tc>
          <w:tcPr>
            <w:tcW w:w="1213" w:type="dxa"/>
            <w:tcBorders>
              <w:top w:val="single" w:sz="8" w:space="0" w:color="C1C7CD"/>
              <w:left w:val="single" w:sz="8" w:space="0" w:color="C1C7CD"/>
            </w:tcBorders>
            <w:tcMar>
              <w:top w:w="75" w:type="dxa"/>
              <w:left w:w="120" w:type="dxa"/>
              <w:bottom w:w="75" w:type="dxa"/>
              <w:right w:w="120" w:type="dxa"/>
            </w:tcMar>
          </w:tcPr>
          <w:p w14:paraId="57B9BC77" w14:textId="77777777" w:rsidR="00201029" w:rsidRDefault="00201029" w:rsidP="009238FB">
            <w:pPr>
              <w:spacing w:after="0"/>
              <w:ind w:left="240"/>
              <w:rPr>
                <w:rFonts w:ascii="Cambria" w:hAnsi="Cambria"/>
                <w:color w:val="000000"/>
              </w:rPr>
            </w:pPr>
          </w:p>
        </w:tc>
      </w:tr>
      <w:tr w:rsidR="00067AC3" w14:paraId="0CCAC039" w14:textId="77777777" w:rsidTr="001070D7">
        <w:trPr>
          <w:trHeight w:val="465"/>
          <w:tblCellSpacing w:w="0" w:type="dxa"/>
        </w:trPr>
        <w:tc>
          <w:tcPr>
            <w:tcW w:w="1654" w:type="dxa"/>
            <w:tcBorders>
              <w:top w:val="single" w:sz="8" w:space="0" w:color="C1C7CD"/>
            </w:tcBorders>
            <w:tcMar>
              <w:top w:w="75" w:type="dxa"/>
              <w:left w:w="120" w:type="dxa"/>
              <w:bottom w:w="75" w:type="dxa"/>
              <w:right w:w="120" w:type="dxa"/>
            </w:tcMar>
          </w:tcPr>
          <w:p w14:paraId="36430F24" w14:textId="77777777" w:rsidR="00067AC3" w:rsidRDefault="00067AC3" w:rsidP="00067AC3">
            <w:pPr>
              <w:spacing w:after="0"/>
              <w:ind w:left="240"/>
              <w:jc w:val="both"/>
            </w:pPr>
            <w:r>
              <w:rPr>
                <w:rFonts w:ascii="Cambria" w:hAnsi="Cambria"/>
                <w:color w:val="000000"/>
              </w:rPr>
              <w:t>Graduation Rate</w:t>
            </w:r>
          </w:p>
        </w:tc>
        <w:tc>
          <w:tcPr>
            <w:tcW w:w="1406" w:type="dxa"/>
            <w:tcBorders>
              <w:top w:val="single" w:sz="8" w:space="0" w:color="C1C7CD"/>
              <w:left w:val="single" w:sz="8" w:space="0" w:color="C1C7CD"/>
            </w:tcBorders>
            <w:tcMar>
              <w:top w:w="75" w:type="dxa"/>
              <w:left w:w="120" w:type="dxa"/>
              <w:bottom w:w="75" w:type="dxa"/>
              <w:right w:w="120" w:type="dxa"/>
            </w:tcMar>
          </w:tcPr>
          <w:p w14:paraId="45A8A7A7" w14:textId="70085177" w:rsidR="00067AC3" w:rsidRDefault="00067AC3" w:rsidP="009238FB">
            <w:pPr>
              <w:spacing w:after="0"/>
              <w:ind w:left="240"/>
            </w:pPr>
            <w:r>
              <w:rPr>
                <w:rFonts w:ascii="Cambria" w:hAnsi="Cambria"/>
                <w:color w:val="000000"/>
              </w:rPr>
              <w:t>.</w:t>
            </w:r>
            <w:r w:rsidR="006B3ADC">
              <w:rPr>
                <w:rFonts w:ascii="Cambria" w:hAnsi="Cambria"/>
                <w:color w:val="000000"/>
              </w:rPr>
              <w:t>778</w:t>
            </w:r>
          </w:p>
        </w:tc>
        <w:tc>
          <w:tcPr>
            <w:tcW w:w="1406" w:type="dxa"/>
            <w:tcBorders>
              <w:top w:val="single" w:sz="8" w:space="0" w:color="C1C7CD"/>
              <w:left w:val="single" w:sz="8" w:space="0" w:color="C1C7CD"/>
            </w:tcBorders>
            <w:tcMar>
              <w:top w:w="75" w:type="dxa"/>
              <w:left w:w="120" w:type="dxa"/>
              <w:bottom w:w="75" w:type="dxa"/>
              <w:right w:w="120" w:type="dxa"/>
            </w:tcMar>
          </w:tcPr>
          <w:p w14:paraId="723487C2" w14:textId="1BEDFBA8" w:rsidR="00067AC3" w:rsidRDefault="00067AC3" w:rsidP="009238FB">
            <w:pPr>
              <w:spacing w:after="0"/>
              <w:ind w:left="240"/>
            </w:pPr>
            <w:r>
              <w:rPr>
                <w:rFonts w:ascii="Cambria" w:hAnsi="Cambria"/>
                <w:color w:val="000000"/>
              </w:rPr>
              <w:t>.</w:t>
            </w:r>
            <w:r w:rsidR="006B3ADC">
              <w:rPr>
                <w:rFonts w:ascii="Cambria" w:hAnsi="Cambria"/>
                <w:color w:val="000000"/>
              </w:rPr>
              <w:t>703</w:t>
            </w:r>
            <w:r>
              <w:rPr>
                <w:rFonts w:ascii="Cambria" w:hAnsi="Cambria"/>
                <w:color w:val="000000"/>
              </w:rPr>
              <w:t>**</w:t>
            </w:r>
          </w:p>
        </w:tc>
        <w:tc>
          <w:tcPr>
            <w:tcW w:w="1477" w:type="dxa"/>
            <w:tcBorders>
              <w:top w:val="single" w:sz="8" w:space="0" w:color="C1C7CD"/>
              <w:left w:val="single" w:sz="8" w:space="0" w:color="C1C7CD"/>
            </w:tcBorders>
            <w:tcMar>
              <w:top w:w="75" w:type="dxa"/>
              <w:left w:w="120" w:type="dxa"/>
              <w:bottom w:w="75" w:type="dxa"/>
              <w:right w:w="120" w:type="dxa"/>
            </w:tcMar>
          </w:tcPr>
          <w:p w14:paraId="6449125D" w14:textId="013E83DA" w:rsidR="00067AC3" w:rsidRDefault="00067AC3" w:rsidP="009238FB">
            <w:pPr>
              <w:spacing w:after="0"/>
              <w:ind w:left="240"/>
            </w:pPr>
            <w:r>
              <w:rPr>
                <w:rFonts w:ascii="Cambria" w:hAnsi="Cambria"/>
                <w:color w:val="000000"/>
              </w:rPr>
              <w:t>.</w:t>
            </w:r>
            <w:r w:rsidR="006B3ADC">
              <w:rPr>
                <w:rFonts w:ascii="Cambria" w:hAnsi="Cambria"/>
                <w:color w:val="000000"/>
              </w:rPr>
              <w:t>787</w:t>
            </w:r>
          </w:p>
        </w:tc>
        <w:tc>
          <w:tcPr>
            <w:tcW w:w="1598" w:type="dxa"/>
            <w:tcBorders>
              <w:top w:val="single" w:sz="8" w:space="0" w:color="C1C7CD"/>
              <w:left w:val="single" w:sz="8" w:space="0" w:color="C1C7CD"/>
            </w:tcBorders>
            <w:tcMar>
              <w:top w:w="75" w:type="dxa"/>
              <w:left w:w="120" w:type="dxa"/>
              <w:bottom w:w="75" w:type="dxa"/>
              <w:right w:w="120" w:type="dxa"/>
            </w:tcMar>
          </w:tcPr>
          <w:p w14:paraId="62526169" w14:textId="146EE19C" w:rsidR="00067AC3" w:rsidRDefault="00067AC3" w:rsidP="009238FB">
            <w:pPr>
              <w:spacing w:after="0"/>
              <w:ind w:left="240"/>
            </w:pPr>
            <w:r>
              <w:rPr>
                <w:rFonts w:ascii="Cambria" w:hAnsi="Cambria"/>
                <w:color w:val="000000"/>
              </w:rPr>
              <w:t>.</w:t>
            </w:r>
            <w:r w:rsidR="006B3ADC">
              <w:rPr>
                <w:rFonts w:ascii="Cambria" w:hAnsi="Cambria"/>
                <w:color w:val="000000"/>
              </w:rPr>
              <w:t>526</w:t>
            </w:r>
            <w:r>
              <w:rPr>
                <w:rFonts w:ascii="Cambria" w:hAnsi="Cambria"/>
                <w:color w:val="000000"/>
              </w:rPr>
              <w:t>***</w:t>
            </w:r>
          </w:p>
        </w:tc>
        <w:tc>
          <w:tcPr>
            <w:tcW w:w="1477" w:type="dxa"/>
            <w:tcBorders>
              <w:top w:val="single" w:sz="8" w:space="0" w:color="C1C7CD"/>
              <w:left w:val="single" w:sz="8" w:space="0" w:color="C1C7CD"/>
            </w:tcBorders>
            <w:tcMar>
              <w:top w:w="75" w:type="dxa"/>
              <w:left w:w="120" w:type="dxa"/>
              <w:bottom w:w="75" w:type="dxa"/>
              <w:right w:w="120" w:type="dxa"/>
            </w:tcMar>
          </w:tcPr>
          <w:p w14:paraId="0D6FDB01" w14:textId="543F03B2" w:rsidR="00067AC3" w:rsidRDefault="00067AC3" w:rsidP="009238FB">
            <w:pPr>
              <w:spacing w:after="0"/>
              <w:ind w:left="240"/>
            </w:pPr>
            <w:r>
              <w:rPr>
                <w:rFonts w:ascii="Cambria" w:hAnsi="Cambria"/>
                <w:color w:val="000000"/>
              </w:rPr>
              <w:t>.</w:t>
            </w:r>
            <w:r w:rsidR="006B3ADC">
              <w:rPr>
                <w:rFonts w:ascii="Cambria" w:hAnsi="Cambria"/>
                <w:color w:val="000000"/>
              </w:rPr>
              <w:t>795</w:t>
            </w:r>
          </w:p>
        </w:tc>
        <w:tc>
          <w:tcPr>
            <w:tcW w:w="1740" w:type="dxa"/>
            <w:tcBorders>
              <w:top w:val="single" w:sz="8" w:space="0" w:color="C1C7CD"/>
              <w:left w:val="single" w:sz="8" w:space="0" w:color="C1C7CD"/>
            </w:tcBorders>
            <w:tcMar>
              <w:top w:w="75" w:type="dxa"/>
              <w:left w:w="120" w:type="dxa"/>
              <w:bottom w:w="75" w:type="dxa"/>
              <w:right w:w="120" w:type="dxa"/>
            </w:tcMar>
          </w:tcPr>
          <w:p w14:paraId="17317162" w14:textId="103F6903" w:rsidR="00067AC3" w:rsidRDefault="00067AC3" w:rsidP="009238FB">
            <w:pPr>
              <w:spacing w:after="0"/>
              <w:ind w:left="240"/>
            </w:pPr>
            <w:r>
              <w:rPr>
                <w:rFonts w:ascii="Cambria" w:hAnsi="Cambria"/>
                <w:color w:val="000000"/>
              </w:rPr>
              <w:t>.</w:t>
            </w:r>
            <w:r w:rsidR="006B3ADC">
              <w:rPr>
                <w:rFonts w:ascii="Cambria" w:hAnsi="Cambria"/>
                <w:color w:val="000000"/>
              </w:rPr>
              <w:t>704</w:t>
            </w:r>
          </w:p>
        </w:tc>
        <w:tc>
          <w:tcPr>
            <w:tcW w:w="1213" w:type="dxa"/>
            <w:tcBorders>
              <w:top w:val="single" w:sz="8" w:space="0" w:color="C1C7CD"/>
              <w:left w:val="single" w:sz="8" w:space="0" w:color="C1C7CD"/>
            </w:tcBorders>
            <w:tcMar>
              <w:top w:w="75" w:type="dxa"/>
              <w:left w:w="120" w:type="dxa"/>
              <w:bottom w:w="75" w:type="dxa"/>
              <w:right w:w="120" w:type="dxa"/>
            </w:tcMar>
          </w:tcPr>
          <w:p w14:paraId="5ED78308" w14:textId="77777777" w:rsidR="00067AC3" w:rsidRDefault="00067AC3" w:rsidP="009238FB">
            <w:pPr>
              <w:spacing w:after="0"/>
              <w:ind w:left="240"/>
            </w:pPr>
            <w:r>
              <w:rPr>
                <w:rFonts w:ascii="Cambria" w:hAnsi="Cambria"/>
                <w:color w:val="000000"/>
              </w:rPr>
              <w:t>.389**</w:t>
            </w:r>
          </w:p>
        </w:tc>
      </w:tr>
      <w:tr w:rsidR="00067AC3" w14:paraId="71C412E1" w14:textId="77777777" w:rsidTr="001070D7">
        <w:trPr>
          <w:trHeight w:val="465"/>
          <w:tblCellSpacing w:w="0" w:type="dxa"/>
        </w:trPr>
        <w:tc>
          <w:tcPr>
            <w:tcW w:w="1654" w:type="dxa"/>
            <w:tcBorders>
              <w:top w:val="single" w:sz="8" w:space="0" w:color="C1C7CD"/>
            </w:tcBorders>
            <w:tcMar>
              <w:top w:w="75" w:type="dxa"/>
              <w:left w:w="120" w:type="dxa"/>
              <w:bottom w:w="75" w:type="dxa"/>
              <w:right w:w="120" w:type="dxa"/>
            </w:tcMar>
          </w:tcPr>
          <w:p w14:paraId="67CEDF82" w14:textId="77777777" w:rsidR="00067AC3" w:rsidRDefault="00067AC3" w:rsidP="00067AC3">
            <w:pPr>
              <w:spacing w:after="0"/>
              <w:ind w:left="240"/>
              <w:jc w:val="both"/>
            </w:pPr>
            <w:r>
              <w:rPr>
                <w:rFonts w:ascii="Cambria" w:hAnsi="Cambria"/>
                <w:color w:val="000000"/>
              </w:rPr>
              <w:t>STEM</w:t>
            </w:r>
          </w:p>
        </w:tc>
        <w:tc>
          <w:tcPr>
            <w:tcW w:w="1406" w:type="dxa"/>
            <w:tcBorders>
              <w:top w:val="single" w:sz="8" w:space="0" w:color="C1C7CD"/>
              <w:left w:val="single" w:sz="8" w:space="0" w:color="C1C7CD"/>
            </w:tcBorders>
            <w:tcMar>
              <w:top w:w="75" w:type="dxa"/>
              <w:left w:w="120" w:type="dxa"/>
              <w:bottom w:w="75" w:type="dxa"/>
              <w:right w:w="120" w:type="dxa"/>
            </w:tcMar>
          </w:tcPr>
          <w:p w14:paraId="06616F86" w14:textId="676B31D1" w:rsidR="00067AC3" w:rsidRDefault="00067AC3" w:rsidP="009238FB">
            <w:pPr>
              <w:spacing w:after="0"/>
              <w:ind w:left="240"/>
            </w:pPr>
            <w:r>
              <w:rPr>
                <w:rFonts w:ascii="Cambria" w:hAnsi="Cambria"/>
                <w:color w:val="000000"/>
              </w:rPr>
              <w:t>.4</w:t>
            </w:r>
            <w:r w:rsidR="006B3ADC">
              <w:rPr>
                <w:rFonts w:ascii="Cambria" w:hAnsi="Cambria"/>
                <w:color w:val="000000"/>
              </w:rPr>
              <w:t>63</w:t>
            </w:r>
          </w:p>
        </w:tc>
        <w:tc>
          <w:tcPr>
            <w:tcW w:w="1406" w:type="dxa"/>
            <w:tcBorders>
              <w:top w:val="single" w:sz="8" w:space="0" w:color="C1C7CD"/>
              <w:left w:val="single" w:sz="8" w:space="0" w:color="C1C7CD"/>
            </w:tcBorders>
            <w:tcMar>
              <w:top w:w="75" w:type="dxa"/>
              <w:left w:w="120" w:type="dxa"/>
              <w:bottom w:w="75" w:type="dxa"/>
              <w:right w:w="120" w:type="dxa"/>
            </w:tcMar>
          </w:tcPr>
          <w:p w14:paraId="63000D5E" w14:textId="0142D180" w:rsidR="00067AC3" w:rsidRDefault="00067AC3" w:rsidP="009238FB">
            <w:pPr>
              <w:spacing w:after="0"/>
              <w:ind w:left="240"/>
            </w:pPr>
            <w:r>
              <w:rPr>
                <w:rFonts w:ascii="Cambria" w:hAnsi="Cambria"/>
                <w:color w:val="000000"/>
              </w:rPr>
              <w:t>.2</w:t>
            </w:r>
            <w:r w:rsidR="006B3ADC">
              <w:rPr>
                <w:rFonts w:ascii="Cambria" w:hAnsi="Cambria"/>
                <w:color w:val="000000"/>
              </w:rPr>
              <w:t>64</w:t>
            </w:r>
            <w:r>
              <w:rPr>
                <w:rFonts w:ascii="Cambria" w:hAnsi="Cambria"/>
                <w:color w:val="000000"/>
              </w:rPr>
              <w:t>***</w:t>
            </w:r>
          </w:p>
        </w:tc>
        <w:tc>
          <w:tcPr>
            <w:tcW w:w="1477" w:type="dxa"/>
            <w:tcBorders>
              <w:top w:val="single" w:sz="8" w:space="0" w:color="C1C7CD"/>
              <w:left w:val="single" w:sz="8" w:space="0" w:color="C1C7CD"/>
            </w:tcBorders>
            <w:tcMar>
              <w:top w:w="75" w:type="dxa"/>
              <w:left w:w="120" w:type="dxa"/>
              <w:bottom w:w="75" w:type="dxa"/>
              <w:right w:w="120" w:type="dxa"/>
            </w:tcMar>
          </w:tcPr>
          <w:p w14:paraId="140DB701" w14:textId="3FB055D2" w:rsidR="00067AC3" w:rsidRDefault="00067AC3" w:rsidP="009238FB">
            <w:pPr>
              <w:spacing w:after="0"/>
              <w:ind w:left="240"/>
            </w:pPr>
            <w:r>
              <w:rPr>
                <w:rFonts w:ascii="Cambria" w:hAnsi="Cambria"/>
                <w:color w:val="000000"/>
              </w:rPr>
              <w:t>.</w:t>
            </w:r>
            <w:r w:rsidR="006B3ADC">
              <w:rPr>
                <w:rFonts w:ascii="Cambria" w:hAnsi="Cambria"/>
                <w:color w:val="000000"/>
              </w:rPr>
              <w:t>262</w:t>
            </w:r>
            <w:r>
              <w:rPr>
                <w:rFonts w:ascii="Cambria" w:hAnsi="Cambria"/>
                <w:color w:val="000000"/>
              </w:rPr>
              <w:t>***</w:t>
            </w:r>
          </w:p>
        </w:tc>
        <w:tc>
          <w:tcPr>
            <w:tcW w:w="1598" w:type="dxa"/>
            <w:tcBorders>
              <w:top w:val="single" w:sz="8" w:space="0" w:color="C1C7CD"/>
              <w:left w:val="single" w:sz="8" w:space="0" w:color="C1C7CD"/>
            </w:tcBorders>
            <w:tcMar>
              <w:top w:w="75" w:type="dxa"/>
              <w:left w:w="120" w:type="dxa"/>
              <w:bottom w:w="75" w:type="dxa"/>
              <w:right w:w="120" w:type="dxa"/>
            </w:tcMar>
          </w:tcPr>
          <w:p w14:paraId="6D324B65" w14:textId="45265E0A" w:rsidR="00067AC3" w:rsidRDefault="00067AC3" w:rsidP="009238FB">
            <w:pPr>
              <w:spacing w:after="0"/>
              <w:ind w:left="240"/>
            </w:pPr>
            <w:r>
              <w:rPr>
                <w:rFonts w:ascii="Cambria" w:hAnsi="Cambria"/>
                <w:color w:val="000000"/>
              </w:rPr>
              <w:t>.</w:t>
            </w:r>
            <w:r w:rsidR="006B3ADC">
              <w:rPr>
                <w:rFonts w:ascii="Cambria" w:hAnsi="Cambria"/>
                <w:color w:val="000000"/>
              </w:rPr>
              <w:t>171</w:t>
            </w:r>
            <w:r>
              <w:rPr>
                <w:rFonts w:ascii="Cambria" w:hAnsi="Cambria"/>
                <w:color w:val="000000"/>
              </w:rPr>
              <w:t>***</w:t>
            </w:r>
          </w:p>
        </w:tc>
        <w:tc>
          <w:tcPr>
            <w:tcW w:w="1477" w:type="dxa"/>
            <w:tcBorders>
              <w:top w:val="single" w:sz="8" w:space="0" w:color="C1C7CD"/>
              <w:left w:val="single" w:sz="8" w:space="0" w:color="C1C7CD"/>
            </w:tcBorders>
            <w:tcMar>
              <w:top w:w="75" w:type="dxa"/>
              <w:left w:w="120" w:type="dxa"/>
              <w:bottom w:w="75" w:type="dxa"/>
              <w:right w:w="120" w:type="dxa"/>
            </w:tcMar>
          </w:tcPr>
          <w:p w14:paraId="3D835E13" w14:textId="53C2F797" w:rsidR="00067AC3" w:rsidRDefault="00067AC3" w:rsidP="009238FB">
            <w:pPr>
              <w:spacing w:after="0"/>
              <w:ind w:left="240"/>
            </w:pPr>
            <w:r>
              <w:rPr>
                <w:rFonts w:ascii="Cambria" w:hAnsi="Cambria"/>
                <w:color w:val="000000"/>
              </w:rPr>
              <w:t>.18</w:t>
            </w:r>
            <w:r w:rsidR="006B3ADC">
              <w:rPr>
                <w:rFonts w:ascii="Cambria" w:hAnsi="Cambria"/>
                <w:color w:val="000000"/>
              </w:rPr>
              <w:t>2</w:t>
            </w:r>
            <w:r>
              <w:rPr>
                <w:rFonts w:ascii="Cambria" w:hAnsi="Cambria"/>
                <w:color w:val="000000"/>
              </w:rPr>
              <w:t>***</w:t>
            </w:r>
          </w:p>
        </w:tc>
        <w:tc>
          <w:tcPr>
            <w:tcW w:w="1740" w:type="dxa"/>
            <w:tcBorders>
              <w:top w:val="single" w:sz="8" w:space="0" w:color="C1C7CD"/>
              <w:left w:val="single" w:sz="8" w:space="0" w:color="C1C7CD"/>
            </w:tcBorders>
            <w:tcMar>
              <w:top w:w="75" w:type="dxa"/>
              <w:left w:w="120" w:type="dxa"/>
              <w:bottom w:w="75" w:type="dxa"/>
              <w:right w:w="120" w:type="dxa"/>
            </w:tcMar>
          </w:tcPr>
          <w:p w14:paraId="73BCC675" w14:textId="1DC23D19" w:rsidR="00067AC3" w:rsidRDefault="00067AC3" w:rsidP="009238FB">
            <w:pPr>
              <w:spacing w:after="0"/>
              <w:ind w:left="240"/>
            </w:pPr>
            <w:r>
              <w:rPr>
                <w:rFonts w:ascii="Cambria" w:hAnsi="Cambria"/>
                <w:color w:val="000000"/>
              </w:rPr>
              <w:t>.</w:t>
            </w:r>
            <w:r w:rsidR="006B3ADC">
              <w:rPr>
                <w:rFonts w:ascii="Cambria" w:hAnsi="Cambria"/>
                <w:color w:val="000000"/>
              </w:rPr>
              <w:t>630</w:t>
            </w:r>
          </w:p>
        </w:tc>
        <w:tc>
          <w:tcPr>
            <w:tcW w:w="1213" w:type="dxa"/>
            <w:tcBorders>
              <w:top w:val="single" w:sz="8" w:space="0" w:color="C1C7CD"/>
              <w:left w:val="single" w:sz="8" w:space="0" w:color="C1C7CD"/>
            </w:tcBorders>
            <w:tcMar>
              <w:top w:w="75" w:type="dxa"/>
              <w:left w:w="120" w:type="dxa"/>
              <w:bottom w:w="75" w:type="dxa"/>
              <w:right w:w="120" w:type="dxa"/>
            </w:tcMar>
          </w:tcPr>
          <w:p w14:paraId="2C166241" w14:textId="77777777" w:rsidR="00067AC3" w:rsidRDefault="00067AC3" w:rsidP="009238FB">
            <w:pPr>
              <w:spacing w:after="0"/>
              <w:ind w:left="240"/>
            </w:pPr>
            <w:r>
              <w:rPr>
                <w:rFonts w:ascii="Cambria" w:hAnsi="Cambria"/>
                <w:color w:val="000000"/>
              </w:rPr>
              <w:t>.188</w:t>
            </w:r>
          </w:p>
        </w:tc>
      </w:tr>
    </w:tbl>
    <w:p w14:paraId="0A153595" w14:textId="77777777" w:rsidR="00067AC3" w:rsidRDefault="00067AC3" w:rsidP="00067AC3">
      <w:pPr>
        <w:spacing w:after="0"/>
        <w:ind w:left="120"/>
      </w:pPr>
    </w:p>
    <w:p w14:paraId="6AB541B5" w14:textId="129E5DBA" w:rsidR="00067AC3" w:rsidRDefault="00067AC3" w:rsidP="00067AC3">
      <w:pPr>
        <w:spacing w:after="0"/>
        <w:ind w:left="120"/>
      </w:pPr>
      <w:r>
        <w:rPr>
          <w:rFonts w:ascii="Cambria" w:hAnsi="Cambria"/>
          <w:color w:val="000000"/>
        </w:rPr>
        <w:t xml:space="preserve">NOTE: </w:t>
      </w:r>
      <w:r w:rsidR="001070D7">
        <w:rPr>
          <w:rFonts w:ascii="Cambria" w:hAnsi="Cambria"/>
          <w:color w:val="000000"/>
        </w:rPr>
        <w:t>All c</w:t>
      </w:r>
      <w:r>
        <w:rPr>
          <w:rFonts w:ascii="Cambria" w:hAnsi="Cambria"/>
          <w:color w:val="000000"/>
        </w:rPr>
        <w:t>omparisons are between transfer categories</w:t>
      </w:r>
      <w:r w:rsidR="001070D7">
        <w:rPr>
          <w:rFonts w:ascii="Cambria" w:hAnsi="Cambria"/>
          <w:color w:val="000000"/>
        </w:rPr>
        <w:t xml:space="preserve"> and </w:t>
      </w:r>
      <w:r w:rsidR="006B3ADC">
        <w:rPr>
          <w:rFonts w:ascii="Cambria" w:hAnsi="Cambria"/>
          <w:color w:val="000000"/>
        </w:rPr>
        <w:t xml:space="preserve">all other </w:t>
      </w:r>
      <w:r w:rsidR="001070D7">
        <w:rPr>
          <w:rFonts w:ascii="Cambria" w:hAnsi="Cambria"/>
          <w:color w:val="000000"/>
        </w:rPr>
        <w:t>students</w:t>
      </w:r>
    </w:p>
    <w:p w14:paraId="46A6BFE1" w14:textId="77777777" w:rsidR="00067AC3" w:rsidRDefault="00067AC3" w:rsidP="00067AC3">
      <w:pPr>
        <w:spacing w:after="0"/>
        <w:ind w:left="120"/>
      </w:pPr>
      <w:r>
        <w:rPr>
          <w:rFonts w:ascii="Cambria" w:hAnsi="Cambria"/>
          <w:color w:val="000000"/>
        </w:rPr>
        <w:t>NOTE: * denotes 2 tailed t-test p&lt;.05, ** p&lt;.01, ***p&lt;.001</w:t>
      </w:r>
    </w:p>
    <w:p w14:paraId="061BEFA3" w14:textId="662477B3" w:rsidR="00067AC3" w:rsidRDefault="00067AC3" w:rsidP="00067AC3">
      <w:pPr>
        <w:spacing w:after="0"/>
        <w:ind w:left="120"/>
        <w:rPr>
          <w:rFonts w:ascii="Cambria" w:hAnsi="Cambria"/>
          <w:color w:val="000000"/>
        </w:rPr>
      </w:pPr>
      <w:r>
        <w:rPr>
          <w:rFonts w:ascii="Cambria" w:hAnsi="Cambria"/>
          <w:color w:val="000000"/>
        </w:rPr>
        <w:t xml:space="preserve">NOTE: </w:t>
      </w:r>
      <w:r w:rsidR="00201029">
        <w:rPr>
          <w:rFonts w:ascii="Cambria" w:hAnsi="Cambria"/>
          <w:color w:val="000000"/>
        </w:rPr>
        <w:t xml:space="preserve">Due to their small numbers, no statistics are included for 8 transfer students from private career colleges.  </w:t>
      </w:r>
    </w:p>
    <w:p w14:paraId="09404FD2" w14:textId="0342CE82" w:rsidR="001070D7" w:rsidRDefault="001070D7">
      <w:r>
        <w:br w:type="page"/>
      </w:r>
    </w:p>
    <w:p w14:paraId="34F912F1" w14:textId="77777777" w:rsidR="001070D7" w:rsidRDefault="001070D7" w:rsidP="00067AC3">
      <w:pPr>
        <w:spacing w:after="0"/>
        <w:ind w:left="120"/>
      </w:pPr>
    </w:p>
    <w:p w14:paraId="0E252660" w14:textId="3B7F37BF" w:rsidR="00526287" w:rsidRDefault="00483612">
      <w:pPr>
        <w:spacing w:after="0"/>
        <w:ind w:left="120"/>
        <w:rPr>
          <w:rFonts w:ascii="Cambria" w:hAnsi="Cambria"/>
          <w:color w:val="000000"/>
        </w:rPr>
      </w:pPr>
      <w:r w:rsidRPr="00483612">
        <w:rPr>
          <w:rFonts w:ascii="Cambria" w:hAnsi="Cambria"/>
          <w:noProof/>
          <w:color w:val="000000"/>
        </w:rPr>
        <w:drawing>
          <wp:inline distT="0" distB="0" distL="0" distR="0" wp14:anchorId="22770665" wp14:editId="1A8355CC">
            <wp:extent cx="5025390" cy="36576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14:paraId="5B292578" w14:textId="4869FE1C" w:rsidR="00526287" w:rsidRDefault="00526287">
      <w:pPr>
        <w:rPr>
          <w:rFonts w:ascii="Cambria" w:hAnsi="Cambria"/>
          <w:color w:val="000000"/>
        </w:rPr>
      </w:pPr>
      <w:r>
        <w:rPr>
          <w:rFonts w:ascii="Cambria" w:hAnsi="Cambria"/>
          <w:color w:val="000000"/>
        </w:rPr>
        <w:br w:type="page"/>
      </w:r>
      <w:r w:rsidR="007110DE" w:rsidRPr="007110DE">
        <w:rPr>
          <w:rFonts w:ascii="Cambria" w:hAnsi="Cambria"/>
          <w:noProof/>
          <w:color w:val="000000"/>
        </w:rPr>
        <w:lastRenderedPageBreak/>
        <w:drawing>
          <wp:inline distT="0" distB="0" distL="0" distR="0" wp14:anchorId="6E841614" wp14:editId="25726685">
            <wp:extent cx="5025390" cy="36576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14:paraId="254659BB" w14:textId="710B0096" w:rsidR="007110DE" w:rsidRDefault="007110DE">
      <w:pPr>
        <w:rPr>
          <w:rFonts w:ascii="Cambria" w:hAnsi="Cambria"/>
          <w:color w:val="000000"/>
        </w:rPr>
      </w:pPr>
      <w:r w:rsidRPr="007110DE">
        <w:rPr>
          <w:rFonts w:ascii="Cambria" w:hAnsi="Cambria"/>
          <w:noProof/>
          <w:color w:val="000000"/>
        </w:rPr>
        <w:drawing>
          <wp:inline distT="0" distB="0" distL="0" distR="0" wp14:anchorId="0E531F28" wp14:editId="42F94CFB">
            <wp:extent cx="5025390" cy="36576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14:paraId="359D8C4B" w14:textId="423DE28D" w:rsidR="00DD2B36" w:rsidRDefault="009238FB">
      <w:pPr>
        <w:spacing w:after="0"/>
        <w:ind w:left="120"/>
        <w:rPr>
          <w:rFonts w:ascii="Cambria" w:hAnsi="Cambria"/>
          <w:color w:val="000000"/>
        </w:rPr>
      </w:pPr>
      <w:r>
        <w:rPr>
          <w:rFonts w:ascii="Cambria" w:hAnsi="Cambria"/>
          <w:color w:val="000000"/>
        </w:rPr>
        <w:t> </w:t>
      </w:r>
    </w:p>
    <w:p w14:paraId="1C62297C" w14:textId="77777777" w:rsidR="007110DE" w:rsidRDefault="007110DE" w:rsidP="00DD2B36">
      <w:pPr>
        <w:spacing w:after="0"/>
        <w:ind w:left="120"/>
        <w:jc w:val="center"/>
        <w:rPr>
          <w:rFonts w:ascii="Cambria" w:hAnsi="Cambria"/>
          <w:b/>
          <w:color w:val="000000"/>
        </w:rPr>
      </w:pPr>
    </w:p>
    <w:p w14:paraId="781BF52E" w14:textId="605CEC63" w:rsidR="00DD2B36" w:rsidRPr="00E3226A" w:rsidRDefault="005845E5" w:rsidP="00E3226A">
      <w:pPr>
        <w:jc w:val="center"/>
        <w:rPr>
          <w:rFonts w:ascii="Cambria" w:hAnsi="Cambria"/>
          <w:b/>
          <w:color w:val="000000"/>
        </w:rPr>
      </w:pPr>
      <w:r>
        <w:rPr>
          <w:rFonts w:ascii="Cambria" w:hAnsi="Cambria"/>
          <w:b/>
          <w:color w:val="000000"/>
        </w:rPr>
        <w:br w:type="page"/>
      </w:r>
      <w:r w:rsidR="00DD2B36">
        <w:rPr>
          <w:rFonts w:ascii="Cambria" w:hAnsi="Cambria"/>
          <w:b/>
          <w:color w:val="000000"/>
        </w:rPr>
        <w:lastRenderedPageBreak/>
        <w:t xml:space="preserve">Table </w:t>
      </w:r>
      <w:r w:rsidR="00C04CD3">
        <w:rPr>
          <w:rFonts w:ascii="Cambria" w:hAnsi="Cambria"/>
          <w:b/>
          <w:color w:val="000000"/>
        </w:rPr>
        <w:t>5</w:t>
      </w:r>
      <w:r w:rsidR="00DD2B36">
        <w:rPr>
          <w:rFonts w:ascii="Cambria" w:hAnsi="Cambria"/>
          <w:b/>
          <w:color w:val="000000"/>
        </w:rPr>
        <w:t>: Predict</w:t>
      </w:r>
      <w:r w:rsidR="00DC6CEB">
        <w:rPr>
          <w:rFonts w:ascii="Cambria" w:hAnsi="Cambria"/>
          <w:b/>
          <w:color w:val="000000"/>
        </w:rPr>
        <w:t>ed Probabilities of Graduation f</w:t>
      </w:r>
      <w:r w:rsidR="000244C6">
        <w:rPr>
          <w:rFonts w:ascii="Cambria" w:hAnsi="Cambria"/>
          <w:b/>
          <w:color w:val="000000"/>
        </w:rPr>
        <w:t>rom UofT</w:t>
      </w:r>
    </w:p>
    <w:tbl>
      <w:tblPr>
        <w:tblW w:w="10850" w:type="dxa"/>
        <w:tblCellSpacing w:w="0" w:type="dxa"/>
        <w:tblInd w:w="-370"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1740"/>
        <w:gridCol w:w="960"/>
        <w:gridCol w:w="2160"/>
        <w:gridCol w:w="1940"/>
        <w:gridCol w:w="2020"/>
        <w:gridCol w:w="2030"/>
      </w:tblGrid>
      <w:tr w:rsidR="00CA6E91" w14:paraId="5528A9E1" w14:textId="3C392AFE" w:rsidTr="00847FBB">
        <w:trPr>
          <w:trHeight w:val="450"/>
          <w:tblCellSpacing w:w="0" w:type="dxa"/>
        </w:trPr>
        <w:tc>
          <w:tcPr>
            <w:tcW w:w="1740" w:type="dxa"/>
            <w:tcMar>
              <w:top w:w="75" w:type="dxa"/>
              <w:left w:w="120" w:type="dxa"/>
              <w:bottom w:w="75" w:type="dxa"/>
              <w:right w:w="120" w:type="dxa"/>
            </w:tcMar>
          </w:tcPr>
          <w:p w14:paraId="6399E10B" w14:textId="77777777" w:rsidR="00CA6E91" w:rsidRDefault="00CA6E91" w:rsidP="00462894">
            <w:pPr>
              <w:spacing w:after="0"/>
              <w:ind w:left="240"/>
            </w:pPr>
            <w:r>
              <w:rPr>
                <w:rFonts w:ascii="Cambria" w:hAnsi="Cambria"/>
                <w:color w:val="000000"/>
              </w:rPr>
              <w:t> </w:t>
            </w:r>
          </w:p>
        </w:tc>
        <w:tc>
          <w:tcPr>
            <w:tcW w:w="960" w:type="dxa"/>
            <w:tcBorders>
              <w:left w:val="single" w:sz="8" w:space="0" w:color="C1C7CD"/>
            </w:tcBorders>
            <w:tcMar>
              <w:top w:w="75" w:type="dxa"/>
              <w:left w:w="120" w:type="dxa"/>
              <w:bottom w:w="75" w:type="dxa"/>
              <w:right w:w="120" w:type="dxa"/>
            </w:tcMar>
          </w:tcPr>
          <w:p w14:paraId="4422B073" w14:textId="61814646" w:rsidR="00CA6E91" w:rsidRDefault="00CA6E91" w:rsidP="00462894">
            <w:pPr>
              <w:spacing w:after="0"/>
              <w:ind w:left="240"/>
            </w:pPr>
            <w:r>
              <w:rPr>
                <w:rFonts w:ascii="Cambria" w:hAnsi="Cambria"/>
                <w:color w:val="000000"/>
              </w:rPr>
              <w:t>Raw Rate</w:t>
            </w:r>
          </w:p>
        </w:tc>
        <w:tc>
          <w:tcPr>
            <w:tcW w:w="2160" w:type="dxa"/>
            <w:tcBorders>
              <w:left w:val="single" w:sz="8" w:space="0" w:color="C1C7CD"/>
            </w:tcBorders>
            <w:tcMar>
              <w:top w:w="75" w:type="dxa"/>
              <w:left w:w="120" w:type="dxa"/>
              <w:bottom w:w="75" w:type="dxa"/>
              <w:right w:w="120" w:type="dxa"/>
            </w:tcMar>
          </w:tcPr>
          <w:p w14:paraId="01D7FFC7" w14:textId="7D35AC3F" w:rsidR="00CA6E91" w:rsidRDefault="00CA6E91" w:rsidP="00462894">
            <w:pPr>
              <w:spacing w:after="0"/>
              <w:ind w:left="240"/>
            </w:pPr>
            <w:r>
              <w:rPr>
                <w:rFonts w:ascii="Cambria" w:hAnsi="Cambria"/>
                <w:color w:val="000000"/>
              </w:rPr>
              <w:t>Predicted with Sample Means of Demographics &amp; HS Academics</w:t>
            </w:r>
          </w:p>
        </w:tc>
        <w:tc>
          <w:tcPr>
            <w:tcW w:w="1940" w:type="dxa"/>
            <w:tcBorders>
              <w:left w:val="single" w:sz="8" w:space="0" w:color="C1C7CD"/>
            </w:tcBorders>
            <w:tcMar>
              <w:top w:w="75" w:type="dxa"/>
              <w:left w:w="120" w:type="dxa"/>
              <w:bottom w:w="75" w:type="dxa"/>
              <w:right w:w="120" w:type="dxa"/>
            </w:tcMar>
          </w:tcPr>
          <w:p w14:paraId="567C1A28" w14:textId="74FF628E" w:rsidR="00CA6E91" w:rsidRDefault="00CA6E91" w:rsidP="00462894">
            <w:pPr>
              <w:spacing w:after="0"/>
              <w:ind w:left="240"/>
            </w:pPr>
            <w:r>
              <w:rPr>
                <w:rFonts w:ascii="Cambria" w:hAnsi="Cambria"/>
                <w:color w:val="000000"/>
              </w:rPr>
              <w:t>Predicted with Group-Specific Means of Demographics &amp; HS Academics</w:t>
            </w:r>
          </w:p>
        </w:tc>
        <w:tc>
          <w:tcPr>
            <w:tcW w:w="2020" w:type="dxa"/>
            <w:tcBorders>
              <w:left w:val="single" w:sz="8" w:space="0" w:color="C1C7CD"/>
            </w:tcBorders>
          </w:tcPr>
          <w:p w14:paraId="453F1205" w14:textId="4F9BB971" w:rsidR="00CA6E91" w:rsidRDefault="00CA6E91" w:rsidP="00462894">
            <w:pPr>
              <w:spacing w:after="0"/>
              <w:ind w:left="240"/>
              <w:rPr>
                <w:rFonts w:ascii="Cambria" w:hAnsi="Cambria"/>
                <w:color w:val="000000"/>
              </w:rPr>
            </w:pPr>
            <w:r>
              <w:rPr>
                <w:rFonts w:ascii="Cambria" w:hAnsi="Cambria"/>
                <w:color w:val="000000"/>
              </w:rPr>
              <w:t>Add Transfer Credits Awarded, Sample Means</w:t>
            </w:r>
          </w:p>
        </w:tc>
        <w:tc>
          <w:tcPr>
            <w:tcW w:w="2030" w:type="dxa"/>
            <w:tcBorders>
              <w:left w:val="single" w:sz="8" w:space="0" w:color="C1C7CD"/>
            </w:tcBorders>
          </w:tcPr>
          <w:p w14:paraId="78333420" w14:textId="717D93AE" w:rsidR="00CA6E91" w:rsidRDefault="00CA6E91" w:rsidP="00462894">
            <w:pPr>
              <w:spacing w:after="0"/>
              <w:ind w:left="240"/>
              <w:rPr>
                <w:rFonts w:ascii="Cambria" w:hAnsi="Cambria"/>
                <w:color w:val="000000"/>
              </w:rPr>
            </w:pPr>
            <w:r>
              <w:rPr>
                <w:rFonts w:ascii="Cambria" w:hAnsi="Cambria"/>
                <w:color w:val="000000"/>
              </w:rPr>
              <w:t>Add Transfer Credits Awarded, Group Means</w:t>
            </w:r>
          </w:p>
        </w:tc>
      </w:tr>
      <w:tr w:rsidR="00CA6E91" w14:paraId="5E736671" w14:textId="427325BC" w:rsidTr="00847FBB">
        <w:trPr>
          <w:trHeight w:val="465"/>
          <w:tblCellSpacing w:w="0" w:type="dxa"/>
        </w:trPr>
        <w:tc>
          <w:tcPr>
            <w:tcW w:w="1740" w:type="dxa"/>
            <w:tcBorders>
              <w:top w:val="single" w:sz="8" w:space="0" w:color="C1C7CD"/>
            </w:tcBorders>
            <w:tcMar>
              <w:top w:w="75" w:type="dxa"/>
              <w:left w:w="120" w:type="dxa"/>
              <w:bottom w:w="75" w:type="dxa"/>
              <w:right w:w="120" w:type="dxa"/>
            </w:tcMar>
          </w:tcPr>
          <w:p w14:paraId="140A00C5" w14:textId="49564C77" w:rsidR="00CA6E91" w:rsidRDefault="00CA6E91" w:rsidP="00D81113">
            <w:pPr>
              <w:spacing w:after="0"/>
              <w:ind w:left="240"/>
            </w:pPr>
            <w:r>
              <w:rPr>
                <w:rFonts w:ascii="Cambria" w:hAnsi="Cambria"/>
                <w:color w:val="000000"/>
              </w:rPr>
              <w:t>Direct Entry</w:t>
            </w:r>
          </w:p>
        </w:tc>
        <w:tc>
          <w:tcPr>
            <w:tcW w:w="960" w:type="dxa"/>
            <w:tcBorders>
              <w:top w:val="single" w:sz="8" w:space="0" w:color="C1C7CD"/>
              <w:left w:val="single" w:sz="8" w:space="0" w:color="C1C7CD"/>
            </w:tcBorders>
            <w:tcMar>
              <w:top w:w="75" w:type="dxa"/>
              <w:left w:w="120" w:type="dxa"/>
              <w:bottom w:w="75" w:type="dxa"/>
              <w:right w:w="120" w:type="dxa"/>
            </w:tcMar>
          </w:tcPr>
          <w:p w14:paraId="5ECC4BD9" w14:textId="31406B29" w:rsidR="00CA6E91" w:rsidRDefault="00CA6E91" w:rsidP="00D81113">
            <w:pPr>
              <w:spacing w:after="0"/>
              <w:ind w:left="240"/>
            </w:pPr>
            <w:r>
              <w:t>.78</w:t>
            </w:r>
          </w:p>
        </w:tc>
        <w:tc>
          <w:tcPr>
            <w:tcW w:w="2160" w:type="dxa"/>
            <w:tcBorders>
              <w:top w:val="single" w:sz="8" w:space="0" w:color="C1C7CD"/>
              <w:left w:val="single" w:sz="8" w:space="0" w:color="C1C7CD"/>
            </w:tcBorders>
            <w:tcMar>
              <w:top w:w="75" w:type="dxa"/>
              <w:left w:w="120" w:type="dxa"/>
              <w:bottom w:w="75" w:type="dxa"/>
              <w:right w:w="120" w:type="dxa"/>
            </w:tcMar>
          </w:tcPr>
          <w:p w14:paraId="5E86AC35" w14:textId="2A95E297" w:rsidR="00CA6E91" w:rsidRDefault="00CA6E91" w:rsidP="00D81113">
            <w:pPr>
              <w:spacing w:after="0"/>
              <w:ind w:left="240"/>
            </w:pPr>
            <w:r>
              <w:t>.82</w:t>
            </w:r>
          </w:p>
        </w:tc>
        <w:tc>
          <w:tcPr>
            <w:tcW w:w="1940" w:type="dxa"/>
            <w:tcBorders>
              <w:top w:val="single" w:sz="8" w:space="0" w:color="C1C7CD"/>
              <w:left w:val="single" w:sz="8" w:space="0" w:color="C1C7CD"/>
            </w:tcBorders>
            <w:tcMar>
              <w:top w:w="75" w:type="dxa"/>
              <w:left w:w="120" w:type="dxa"/>
              <w:bottom w:w="75" w:type="dxa"/>
              <w:right w:w="120" w:type="dxa"/>
            </w:tcMar>
          </w:tcPr>
          <w:p w14:paraId="6F894810" w14:textId="2B2AF4C5" w:rsidR="00CA6E91" w:rsidRDefault="00CA6E91" w:rsidP="00D81113">
            <w:pPr>
              <w:spacing w:after="0"/>
              <w:ind w:left="240"/>
            </w:pPr>
            <w:r>
              <w:t>.82</w:t>
            </w:r>
          </w:p>
        </w:tc>
        <w:tc>
          <w:tcPr>
            <w:tcW w:w="2020" w:type="dxa"/>
            <w:tcBorders>
              <w:top w:val="single" w:sz="8" w:space="0" w:color="C1C7CD"/>
              <w:left w:val="single" w:sz="8" w:space="0" w:color="C1C7CD"/>
            </w:tcBorders>
          </w:tcPr>
          <w:p w14:paraId="5DC918D4" w14:textId="431D2094" w:rsidR="00CA6E91" w:rsidRDefault="00CA6E91" w:rsidP="00D81113">
            <w:pPr>
              <w:spacing w:after="0"/>
              <w:ind w:left="240"/>
            </w:pPr>
            <w:r>
              <w:t>.82</w:t>
            </w:r>
          </w:p>
        </w:tc>
        <w:tc>
          <w:tcPr>
            <w:tcW w:w="2030" w:type="dxa"/>
            <w:tcBorders>
              <w:top w:val="single" w:sz="8" w:space="0" w:color="C1C7CD"/>
              <w:left w:val="single" w:sz="8" w:space="0" w:color="C1C7CD"/>
            </w:tcBorders>
          </w:tcPr>
          <w:p w14:paraId="567B6BBF" w14:textId="3BE6638D" w:rsidR="00CA6E91" w:rsidRDefault="00CA6E91" w:rsidP="00D81113">
            <w:pPr>
              <w:spacing w:after="0"/>
              <w:ind w:left="240"/>
            </w:pPr>
            <w:r>
              <w:t>.82</w:t>
            </w:r>
          </w:p>
        </w:tc>
      </w:tr>
      <w:tr w:rsidR="00CA6E91" w14:paraId="11573A31" w14:textId="5C334876" w:rsidTr="00847FBB">
        <w:trPr>
          <w:trHeight w:val="465"/>
          <w:tblCellSpacing w:w="0" w:type="dxa"/>
        </w:trPr>
        <w:tc>
          <w:tcPr>
            <w:tcW w:w="1740" w:type="dxa"/>
            <w:tcBorders>
              <w:top w:val="single" w:sz="8" w:space="0" w:color="C1C7CD"/>
            </w:tcBorders>
            <w:tcMar>
              <w:top w:w="75" w:type="dxa"/>
              <w:left w:w="120" w:type="dxa"/>
              <w:bottom w:w="75" w:type="dxa"/>
              <w:right w:w="120" w:type="dxa"/>
            </w:tcMar>
          </w:tcPr>
          <w:p w14:paraId="0C2DE86D" w14:textId="0AC13434" w:rsidR="00CA6E91" w:rsidRDefault="00CA6E91" w:rsidP="00D81113">
            <w:pPr>
              <w:spacing w:after="0"/>
              <w:ind w:left="240"/>
            </w:pPr>
            <w:r>
              <w:rPr>
                <w:rFonts w:ascii="Cambria" w:hAnsi="Cambria"/>
                <w:color w:val="000000"/>
              </w:rPr>
              <w:t>All Transfers</w:t>
            </w:r>
          </w:p>
        </w:tc>
        <w:tc>
          <w:tcPr>
            <w:tcW w:w="960" w:type="dxa"/>
            <w:tcBorders>
              <w:top w:val="single" w:sz="8" w:space="0" w:color="C1C7CD"/>
              <w:left w:val="single" w:sz="8" w:space="0" w:color="C1C7CD"/>
            </w:tcBorders>
            <w:tcMar>
              <w:top w:w="75" w:type="dxa"/>
              <w:left w:w="120" w:type="dxa"/>
              <w:bottom w:w="75" w:type="dxa"/>
              <w:right w:w="120" w:type="dxa"/>
            </w:tcMar>
          </w:tcPr>
          <w:p w14:paraId="583A5C3D" w14:textId="2232AB6B" w:rsidR="00CA6E91" w:rsidRDefault="00CA6E91" w:rsidP="00D81113">
            <w:pPr>
              <w:spacing w:after="0"/>
              <w:ind w:left="240"/>
            </w:pPr>
            <w:r>
              <w:t>.70</w:t>
            </w:r>
          </w:p>
        </w:tc>
        <w:tc>
          <w:tcPr>
            <w:tcW w:w="2160" w:type="dxa"/>
            <w:tcBorders>
              <w:top w:val="single" w:sz="8" w:space="0" w:color="C1C7CD"/>
              <w:left w:val="single" w:sz="8" w:space="0" w:color="C1C7CD"/>
            </w:tcBorders>
            <w:tcMar>
              <w:top w:w="75" w:type="dxa"/>
              <w:left w:w="120" w:type="dxa"/>
              <w:bottom w:w="75" w:type="dxa"/>
              <w:right w:w="120" w:type="dxa"/>
            </w:tcMar>
          </w:tcPr>
          <w:p w14:paraId="51F1644E" w14:textId="503DA210" w:rsidR="00CA6E91" w:rsidRDefault="00CA6E91" w:rsidP="00D81113">
            <w:pPr>
              <w:spacing w:after="0"/>
              <w:ind w:left="240"/>
            </w:pPr>
            <w:r>
              <w:t>.82</w:t>
            </w:r>
          </w:p>
        </w:tc>
        <w:tc>
          <w:tcPr>
            <w:tcW w:w="1940" w:type="dxa"/>
            <w:tcBorders>
              <w:top w:val="single" w:sz="8" w:space="0" w:color="C1C7CD"/>
              <w:left w:val="single" w:sz="8" w:space="0" w:color="C1C7CD"/>
            </w:tcBorders>
            <w:tcMar>
              <w:top w:w="75" w:type="dxa"/>
              <w:left w:w="120" w:type="dxa"/>
              <w:bottom w:w="75" w:type="dxa"/>
              <w:right w:w="120" w:type="dxa"/>
            </w:tcMar>
          </w:tcPr>
          <w:p w14:paraId="34A1DD80" w14:textId="1F138861" w:rsidR="00CA6E91" w:rsidRDefault="00CA6E91" w:rsidP="00D81113">
            <w:pPr>
              <w:spacing w:after="0"/>
              <w:ind w:left="240"/>
            </w:pPr>
            <w:r>
              <w:t>.74</w:t>
            </w:r>
          </w:p>
        </w:tc>
        <w:tc>
          <w:tcPr>
            <w:tcW w:w="2020" w:type="dxa"/>
            <w:tcBorders>
              <w:top w:val="single" w:sz="8" w:space="0" w:color="C1C7CD"/>
              <w:left w:val="single" w:sz="8" w:space="0" w:color="C1C7CD"/>
            </w:tcBorders>
          </w:tcPr>
          <w:p w14:paraId="5BA16C09" w14:textId="638A3F56" w:rsidR="00CA6E91" w:rsidRDefault="00CA6E91" w:rsidP="00D81113">
            <w:pPr>
              <w:spacing w:after="0"/>
              <w:ind w:left="240"/>
            </w:pPr>
            <w:r>
              <w:t>.78</w:t>
            </w:r>
          </w:p>
        </w:tc>
        <w:tc>
          <w:tcPr>
            <w:tcW w:w="2030" w:type="dxa"/>
            <w:tcBorders>
              <w:top w:val="single" w:sz="8" w:space="0" w:color="C1C7CD"/>
              <w:left w:val="single" w:sz="8" w:space="0" w:color="C1C7CD"/>
            </w:tcBorders>
          </w:tcPr>
          <w:p w14:paraId="366FC730" w14:textId="451A3BBF" w:rsidR="00CA6E91" w:rsidRDefault="00CA6E91" w:rsidP="00D81113">
            <w:pPr>
              <w:spacing w:after="0"/>
              <w:ind w:left="240"/>
            </w:pPr>
            <w:r>
              <w:t>.75</w:t>
            </w:r>
          </w:p>
        </w:tc>
      </w:tr>
      <w:tr w:rsidR="00CA6E91" w14:paraId="6234DD48" w14:textId="2706140B" w:rsidTr="00847FBB">
        <w:trPr>
          <w:trHeight w:val="465"/>
          <w:tblCellSpacing w:w="0" w:type="dxa"/>
        </w:trPr>
        <w:tc>
          <w:tcPr>
            <w:tcW w:w="1740" w:type="dxa"/>
            <w:tcBorders>
              <w:top w:val="single" w:sz="8" w:space="0" w:color="C1C7CD"/>
            </w:tcBorders>
            <w:tcMar>
              <w:top w:w="75" w:type="dxa"/>
              <w:left w:w="120" w:type="dxa"/>
              <w:bottom w:w="75" w:type="dxa"/>
              <w:right w:w="120" w:type="dxa"/>
            </w:tcMar>
          </w:tcPr>
          <w:p w14:paraId="5A603673" w14:textId="77777777" w:rsidR="00CA6E91" w:rsidRDefault="00CA6E91" w:rsidP="00D81113">
            <w:pPr>
              <w:spacing w:after="0"/>
              <w:ind w:left="240"/>
            </w:pPr>
            <w:r>
              <w:rPr>
                <w:rFonts w:ascii="Cambria" w:hAnsi="Cambria"/>
                <w:color w:val="000000"/>
              </w:rPr>
              <w:t>Ontario Universities</w:t>
            </w:r>
          </w:p>
        </w:tc>
        <w:tc>
          <w:tcPr>
            <w:tcW w:w="960" w:type="dxa"/>
            <w:tcBorders>
              <w:top w:val="single" w:sz="8" w:space="0" w:color="C1C7CD"/>
              <w:left w:val="single" w:sz="8" w:space="0" w:color="C1C7CD"/>
            </w:tcBorders>
            <w:tcMar>
              <w:top w:w="75" w:type="dxa"/>
              <w:left w:w="120" w:type="dxa"/>
              <w:bottom w:w="75" w:type="dxa"/>
              <w:right w:w="120" w:type="dxa"/>
            </w:tcMar>
          </w:tcPr>
          <w:p w14:paraId="3815D303" w14:textId="03C15F74" w:rsidR="00CA6E91" w:rsidRDefault="00CA6E91" w:rsidP="00D81113">
            <w:pPr>
              <w:spacing w:after="0"/>
              <w:ind w:left="240"/>
            </w:pPr>
            <w:r>
              <w:t>.79</w:t>
            </w:r>
          </w:p>
        </w:tc>
        <w:tc>
          <w:tcPr>
            <w:tcW w:w="2160" w:type="dxa"/>
            <w:tcBorders>
              <w:top w:val="single" w:sz="8" w:space="0" w:color="C1C7CD"/>
              <w:left w:val="single" w:sz="8" w:space="0" w:color="C1C7CD"/>
            </w:tcBorders>
            <w:tcMar>
              <w:top w:w="75" w:type="dxa"/>
              <w:left w:w="120" w:type="dxa"/>
              <w:bottom w:w="75" w:type="dxa"/>
              <w:right w:w="120" w:type="dxa"/>
            </w:tcMar>
          </w:tcPr>
          <w:p w14:paraId="384CEFE2" w14:textId="3B5AED64" w:rsidR="00CA6E91" w:rsidRDefault="00CA6E91" w:rsidP="00D81113">
            <w:pPr>
              <w:spacing w:after="0"/>
              <w:ind w:left="240"/>
            </w:pPr>
            <w:r>
              <w:t>.84</w:t>
            </w:r>
          </w:p>
        </w:tc>
        <w:tc>
          <w:tcPr>
            <w:tcW w:w="1940" w:type="dxa"/>
            <w:tcBorders>
              <w:top w:val="single" w:sz="8" w:space="0" w:color="C1C7CD"/>
              <w:left w:val="single" w:sz="8" w:space="0" w:color="C1C7CD"/>
            </w:tcBorders>
            <w:tcMar>
              <w:top w:w="75" w:type="dxa"/>
              <w:left w:w="120" w:type="dxa"/>
              <w:bottom w:w="75" w:type="dxa"/>
              <w:right w:w="120" w:type="dxa"/>
            </w:tcMar>
          </w:tcPr>
          <w:p w14:paraId="7A9B8A1D" w14:textId="781C738E" w:rsidR="00CA6E91" w:rsidRDefault="00CA6E91" w:rsidP="00D81113">
            <w:pPr>
              <w:spacing w:after="0"/>
              <w:ind w:left="240"/>
            </w:pPr>
            <w:r>
              <w:t>.85</w:t>
            </w:r>
          </w:p>
        </w:tc>
        <w:tc>
          <w:tcPr>
            <w:tcW w:w="2020" w:type="dxa"/>
            <w:tcBorders>
              <w:top w:val="single" w:sz="8" w:space="0" w:color="C1C7CD"/>
              <w:left w:val="single" w:sz="8" w:space="0" w:color="C1C7CD"/>
            </w:tcBorders>
          </w:tcPr>
          <w:p w14:paraId="4D0699C4" w14:textId="5B3CFCDA" w:rsidR="00CA6E91" w:rsidRDefault="00CA6E91" w:rsidP="00D81113">
            <w:pPr>
              <w:spacing w:after="0"/>
              <w:ind w:left="240"/>
            </w:pPr>
            <w:r>
              <w:t>.82</w:t>
            </w:r>
          </w:p>
        </w:tc>
        <w:tc>
          <w:tcPr>
            <w:tcW w:w="2030" w:type="dxa"/>
            <w:tcBorders>
              <w:top w:val="single" w:sz="8" w:space="0" w:color="C1C7CD"/>
              <w:left w:val="single" w:sz="8" w:space="0" w:color="C1C7CD"/>
            </w:tcBorders>
          </w:tcPr>
          <w:p w14:paraId="2F3BA80A" w14:textId="3C1E9424" w:rsidR="00CA6E91" w:rsidRDefault="00CA6E91" w:rsidP="00D81113">
            <w:pPr>
              <w:spacing w:after="0"/>
              <w:ind w:left="240"/>
            </w:pPr>
            <w:r>
              <w:t>.85</w:t>
            </w:r>
          </w:p>
        </w:tc>
      </w:tr>
      <w:tr w:rsidR="00CA6E91" w14:paraId="4D23A6E7" w14:textId="1D21038E" w:rsidTr="00847FBB">
        <w:trPr>
          <w:trHeight w:val="465"/>
          <w:tblCellSpacing w:w="0" w:type="dxa"/>
        </w:trPr>
        <w:tc>
          <w:tcPr>
            <w:tcW w:w="1740" w:type="dxa"/>
            <w:tcBorders>
              <w:top w:val="single" w:sz="8" w:space="0" w:color="C1C7CD"/>
            </w:tcBorders>
            <w:tcMar>
              <w:top w:w="75" w:type="dxa"/>
              <w:left w:w="120" w:type="dxa"/>
              <w:bottom w:w="75" w:type="dxa"/>
              <w:right w:w="120" w:type="dxa"/>
            </w:tcMar>
          </w:tcPr>
          <w:p w14:paraId="211A026D" w14:textId="77777777" w:rsidR="00CA6E91" w:rsidRDefault="00CA6E91" w:rsidP="00D81113">
            <w:pPr>
              <w:spacing w:after="0"/>
              <w:ind w:left="240"/>
            </w:pPr>
            <w:r>
              <w:rPr>
                <w:rFonts w:ascii="Cambria" w:hAnsi="Cambria"/>
                <w:color w:val="000000"/>
              </w:rPr>
              <w:t>Other Can. Universities</w:t>
            </w:r>
          </w:p>
        </w:tc>
        <w:tc>
          <w:tcPr>
            <w:tcW w:w="960" w:type="dxa"/>
            <w:tcBorders>
              <w:top w:val="single" w:sz="8" w:space="0" w:color="C1C7CD"/>
              <w:left w:val="single" w:sz="8" w:space="0" w:color="C1C7CD"/>
            </w:tcBorders>
            <w:tcMar>
              <w:top w:w="75" w:type="dxa"/>
              <w:left w:w="120" w:type="dxa"/>
              <w:bottom w:w="75" w:type="dxa"/>
              <w:right w:w="120" w:type="dxa"/>
            </w:tcMar>
          </w:tcPr>
          <w:p w14:paraId="7DDBDF51" w14:textId="16A0D16B" w:rsidR="00CA6E91" w:rsidRDefault="00CA6E91" w:rsidP="00D81113">
            <w:pPr>
              <w:spacing w:after="0"/>
              <w:ind w:left="240"/>
            </w:pPr>
            <w:r>
              <w:t>.80</w:t>
            </w:r>
          </w:p>
        </w:tc>
        <w:tc>
          <w:tcPr>
            <w:tcW w:w="2160" w:type="dxa"/>
            <w:tcBorders>
              <w:top w:val="single" w:sz="8" w:space="0" w:color="C1C7CD"/>
              <w:left w:val="single" w:sz="8" w:space="0" w:color="C1C7CD"/>
            </w:tcBorders>
            <w:tcMar>
              <w:top w:w="75" w:type="dxa"/>
              <w:left w:w="120" w:type="dxa"/>
              <w:bottom w:w="75" w:type="dxa"/>
              <w:right w:w="120" w:type="dxa"/>
            </w:tcMar>
          </w:tcPr>
          <w:p w14:paraId="771330D1" w14:textId="6AA8907D" w:rsidR="00CA6E91" w:rsidRDefault="00CA6E91" w:rsidP="00D81113">
            <w:pPr>
              <w:spacing w:after="0"/>
              <w:ind w:left="240"/>
            </w:pPr>
            <w:r>
              <w:t>.84</w:t>
            </w:r>
          </w:p>
        </w:tc>
        <w:tc>
          <w:tcPr>
            <w:tcW w:w="1940" w:type="dxa"/>
            <w:tcBorders>
              <w:top w:val="single" w:sz="8" w:space="0" w:color="C1C7CD"/>
              <w:left w:val="single" w:sz="8" w:space="0" w:color="C1C7CD"/>
            </w:tcBorders>
            <w:tcMar>
              <w:top w:w="75" w:type="dxa"/>
              <w:left w:w="120" w:type="dxa"/>
              <w:bottom w:w="75" w:type="dxa"/>
              <w:right w:w="120" w:type="dxa"/>
            </w:tcMar>
          </w:tcPr>
          <w:p w14:paraId="3644AEA6" w14:textId="1AD90AE7" w:rsidR="00CA6E91" w:rsidRDefault="00CA6E91" w:rsidP="00D81113">
            <w:pPr>
              <w:spacing w:after="0"/>
              <w:ind w:left="240"/>
            </w:pPr>
            <w:r>
              <w:t>.84</w:t>
            </w:r>
          </w:p>
        </w:tc>
        <w:tc>
          <w:tcPr>
            <w:tcW w:w="2020" w:type="dxa"/>
            <w:tcBorders>
              <w:top w:val="single" w:sz="8" w:space="0" w:color="C1C7CD"/>
              <w:left w:val="single" w:sz="8" w:space="0" w:color="C1C7CD"/>
            </w:tcBorders>
          </w:tcPr>
          <w:p w14:paraId="037A59C8" w14:textId="196B30C1" w:rsidR="00CA6E91" w:rsidRDefault="00CA6E91" w:rsidP="00D81113">
            <w:pPr>
              <w:spacing w:after="0"/>
              <w:ind w:left="240"/>
            </w:pPr>
            <w:r>
              <w:t>.76</w:t>
            </w:r>
          </w:p>
        </w:tc>
        <w:tc>
          <w:tcPr>
            <w:tcW w:w="2030" w:type="dxa"/>
            <w:tcBorders>
              <w:top w:val="single" w:sz="8" w:space="0" w:color="C1C7CD"/>
              <w:left w:val="single" w:sz="8" w:space="0" w:color="C1C7CD"/>
            </w:tcBorders>
          </w:tcPr>
          <w:p w14:paraId="16922C84" w14:textId="6CC04060" w:rsidR="00CA6E91" w:rsidRDefault="00CA6E91" w:rsidP="00D81113">
            <w:pPr>
              <w:spacing w:after="0"/>
              <w:ind w:left="240"/>
            </w:pPr>
            <w:r>
              <w:t>.82</w:t>
            </w:r>
          </w:p>
        </w:tc>
      </w:tr>
      <w:tr w:rsidR="00CA6E91" w14:paraId="5E315671" w14:textId="148EAD7E" w:rsidTr="00847FBB">
        <w:trPr>
          <w:trHeight w:val="465"/>
          <w:tblCellSpacing w:w="0" w:type="dxa"/>
        </w:trPr>
        <w:tc>
          <w:tcPr>
            <w:tcW w:w="1740" w:type="dxa"/>
            <w:tcBorders>
              <w:top w:val="single" w:sz="8" w:space="0" w:color="C1C7CD"/>
            </w:tcBorders>
            <w:tcMar>
              <w:top w:w="75" w:type="dxa"/>
              <w:left w:w="120" w:type="dxa"/>
              <w:bottom w:w="75" w:type="dxa"/>
              <w:right w:w="120" w:type="dxa"/>
            </w:tcMar>
          </w:tcPr>
          <w:p w14:paraId="6BC6CD3F" w14:textId="5AD15102" w:rsidR="00CA6E91" w:rsidRDefault="00CA6E91" w:rsidP="00D81113">
            <w:pPr>
              <w:spacing w:after="0"/>
              <w:ind w:left="240"/>
            </w:pPr>
            <w:r>
              <w:rPr>
                <w:rFonts w:ascii="Cambria" w:hAnsi="Cambria"/>
                <w:color w:val="000000"/>
              </w:rPr>
              <w:t>Ont. Comm Colleges</w:t>
            </w:r>
          </w:p>
        </w:tc>
        <w:tc>
          <w:tcPr>
            <w:tcW w:w="960" w:type="dxa"/>
            <w:tcBorders>
              <w:top w:val="single" w:sz="8" w:space="0" w:color="C1C7CD"/>
              <w:left w:val="single" w:sz="8" w:space="0" w:color="C1C7CD"/>
            </w:tcBorders>
            <w:tcMar>
              <w:top w:w="75" w:type="dxa"/>
              <w:left w:w="120" w:type="dxa"/>
              <w:bottom w:w="75" w:type="dxa"/>
              <w:right w:w="120" w:type="dxa"/>
            </w:tcMar>
          </w:tcPr>
          <w:p w14:paraId="44BCE837" w14:textId="2E929CDD" w:rsidR="00CA6E91" w:rsidRDefault="00CA6E91" w:rsidP="00D81113">
            <w:pPr>
              <w:spacing w:after="0"/>
              <w:ind w:left="240"/>
            </w:pPr>
            <w:r>
              <w:t>.53</w:t>
            </w:r>
          </w:p>
        </w:tc>
        <w:tc>
          <w:tcPr>
            <w:tcW w:w="2160" w:type="dxa"/>
            <w:tcBorders>
              <w:top w:val="single" w:sz="8" w:space="0" w:color="C1C7CD"/>
              <w:left w:val="single" w:sz="8" w:space="0" w:color="C1C7CD"/>
            </w:tcBorders>
            <w:tcMar>
              <w:top w:w="75" w:type="dxa"/>
              <w:left w:w="120" w:type="dxa"/>
              <w:bottom w:w="75" w:type="dxa"/>
              <w:right w:w="120" w:type="dxa"/>
            </w:tcMar>
          </w:tcPr>
          <w:p w14:paraId="1E25696A" w14:textId="5EF22B66" w:rsidR="00CA6E91" w:rsidRDefault="00CA6E91" w:rsidP="00D81113">
            <w:pPr>
              <w:spacing w:after="0"/>
              <w:ind w:left="240"/>
            </w:pPr>
            <w:r>
              <w:t>.76</w:t>
            </w:r>
          </w:p>
        </w:tc>
        <w:tc>
          <w:tcPr>
            <w:tcW w:w="1940" w:type="dxa"/>
            <w:tcBorders>
              <w:top w:val="single" w:sz="8" w:space="0" w:color="C1C7CD"/>
              <w:left w:val="single" w:sz="8" w:space="0" w:color="C1C7CD"/>
            </w:tcBorders>
            <w:tcMar>
              <w:top w:w="75" w:type="dxa"/>
              <w:left w:w="120" w:type="dxa"/>
              <w:bottom w:w="75" w:type="dxa"/>
              <w:right w:w="120" w:type="dxa"/>
            </w:tcMar>
          </w:tcPr>
          <w:p w14:paraId="1C49BC69" w14:textId="616E4DA7" w:rsidR="00CA6E91" w:rsidRDefault="00CA6E91" w:rsidP="00D81113">
            <w:pPr>
              <w:spacing w:after="0"/>
              <w:ind w:left="240"/>
            </w:pPr>
            <w:r>
              <w:t>.53</w:t>
            </w:r>
          </w:p>
        </w:tc>
        <w:tc>
          <w:tcPr>
            <w:tcW w:w="2020" w:type="dxa"/>
            <w:tcBorders>
              <w:top w:val="single" w:sz="8" w:space="0" w:color="C1C7CD"/>
              <w:left w:val="single" w:sz="8" w:space="0" w:color="C1C7CD"/>
            </w:tcBorders>
          </w:tcPr>
          <w:p w14:paraId="4412BF75" w14:textId="1CA93413" w:rsidR="00CA6E91" w:rsidRDefault="00CA6E91" w:rsidP="00D81113">
            <w:pPr>
              <w:spacing w:after="0"/>
              <w:ind w:left="240"/>
            </w:pPr>
            <w:r>
              <w:t>.75</w:t>
            </w:r>
          </w:p>
        </w:tc>
        <w:tc>
          <w:tcPr>
            <w:tcW w:w="2030" w:type="dxa"/>
            <w:tcBorders>
              <w:top w:val="single" w:sz="8" w:space="0" w:color="C1C7CD"/>
              <w:left w:val="single" w:sz="8" w:space="0" w:color="C1C7CD"/>
            </w:tcBorders>
          </w:tcPr>
          <w:p w14:paraId="40A2827B" w14:textId="09C2B89F" w:rsidR="00CA6E91" w:rsidRDefault="00CA6E91" w:rsidP="00D81113">
            <w:pPr>
              <w:spacing w:after="0"/>
              <w:ind w:left="240"/>
            </w:pPr>
            <w:r>
              <w:t>.53</w:t>
            </w:r>
          </w:p>
        </w:tc>
      </w:tr>
      <w:tr w:rsidR="00CA6E91" w14:paraId="1C2FE669" w14:textId="58B7F999" w:rsidTr="00847FBB">
        <w:trPr>
          <w:trHeight w:val="465"/>
          <w:tblCellSpacing w:w="0" w:type="dxa"/>
        </w:trPr>
        <w:tc>
          <w:tcPr>
            <w:tcW w:w="1740" w:type="dxa"/>
            <w:tcBorders>
              <w:top w:val="single" w:sz="8" w:space="0" w:color="C1C7CD"/>
            </w:tcBorders>
            <w:tcMar>
              <w:top w:w="75" w:type="dxa"/>
              <w:left w:w="120" w:type="dxa"/>
              <w:bottom w:w="75" w:type="dxa"/>
              <w:right w:w="120" w:type="dxa"/>
            </w:tcMar>
          </w:tcPr>
          <w:p w14:paraId="25CE1787" w14:textId="77777777" w:rsidR="00CA6E91" w:rsidRDefault="00CA6E91" w:rsidP="00D81113">
            <w:pPr>
              <w:spacing w:after="0"/>
              <w:ind w:left="240"/>
            </w:pPr>
            <w:r>
              <w:rPr>
                <w:rFonts w:ascii="Cambria" w:hAnsi="Cambria"/>
                <w:color w:val="000000"/>
              </w:rPr>
              <w:t>International Universities</w:t>
            </w:r>
          </w:p>
        </w:tc>
        <w:tc>
          <w:tcPr>
            <w:tcW w:w="960" w:type="dxa"/>
            <w:tcBorders>
              <w:top w:val="single" w:sz="8" w:space="0" w:color="C1C7CD"/>
              <w:left w:val="single" w:sz="8" w:space="0" w:color="C1C7CD"/>
            </w:tcBorders>
            <w:tcMar>
              <w:top w:w="75" w:type="dxa"/>
              <w:left w:w="120" w:type="dxa"/>
              <w:bottom w:w="75" w:type="dxa"/>
              <w:right w:w="120" w:type="dxa"/>
            </w:tcMar>
          </w:tcPr>
          <w:p w14:paraId="6E694DCA" w14:textId="71669DC4" w:rsidR="00CA6E91" w:rsidRDefault="00CA6E91" w:rsidP="00D81113">
            <w:pPr>
              <w:spacing w:after="0"/>
              <w:ind w:left="240"/>
            </w:pPr>
            <w:r>
              <w:t>.70</w:t>
            </w:r>
          </w:p>
        </w:tc>
        <w:tc>
          <w:tcPr>
            <w:tcW w:w="2160" w:type="dxa"/>
            <w:tcBorders>
              <w:top w:val="single" w:sz="8" w:space="0" w:color="C1C7CD"/>
              <w:left w:val="single" w:sz="8" w:space="0" w:color="C1C7CD"/>
            </w:tcBorders>
            <w:tcMar>
              <w:top w:w="75" w:type="dxa"/>
              <w:left w:w="120" w:type="dxa"/>
              <w:bottom w:w="75" w:type="dxa"/>
              <w:right w:w="120" w:type="dxa"/>
            </w:tcMar>
          </w:tcPr>
          <w:p w14:paraId="58DA1D9E" w14:textId="22196C48" w:rsidR="00CA6E91" w:rsidRDefault="00CA6E91" w:rsidP="00D81113">
            <w:pPr>
              <w:spacing w:after="0"/>
              <w:ind w:left="240"/>
            </w:pPr>
            <w:r>
              <w:t>.87</w:t>
            </w:r>
          </w:p>
        </w:tc>
        <w:tc>
          <w:tcPr>
            <w:tcW w:w="1940" w:type="dxa"/>
            <w:tcBorders>
              <w:top w:val="single" w:sz="8" w:space="0" w:color="C1C7CD"/>
              <w:left w:val="single" w:sz="8" w:space="0" w:color="C1C7CD"/>
            </w:tcBorders>
            <w:tcMar>
              <w:top w:w="75" w:type="dxa"/>
              <w:left w:w="120" w:type="dxa"/>
              <w:bottom w:w="75" w:type="dxa"/>
              <w:right w:w="120" w:type="dxa"/>
            </w:tcMar>
          </w:tcPr>
          <w:p w14:paraId="42AF0B24" w14:textId="4B7260BC" w:rsidR="00CA6E91" w:rsidRDefault="00CA6E91" w:rsidP="00D81113">
            <w:pPr>
              <w:spacing w:after="0"/>
              <w:ind w:left="240"/>
            </w:pPr>
            <w:r>
              <w:t>.84</w:t>
            </w:r>
          </w:p>
        </w:tc>
        <w:tc>
          <w:tcPr>
            <w:tcW w:w="2020" w:type="dxa"/>
            <w:tcBorders>
              <w:top w:val="single" w:sz="8" w:space="0" w:color="C1C7CD"/>
              <w:left w:val="single" w:sz="8" w:space="0" w:color="C1C7CD"/>
            </w:tcBorders>
          </w:tcPr>
          <w:p w14:paraId="2B7AAC38" w14:textId="512C09B3" w:rsidR="00CA6E91" w:rsidRDefault="00CA6E91" w:rsidP="00D81113">
            <w:pPr>
              <w:spacing w:after="0"/>
              <w:ind w:left="240"/>
            </w:pPr>
            <w:r>
              <w:t>.81</w:t>
            </w:r>
          </w:p>
        </w:tc>
        <w:tc>
          <w:tcPr>
            <w:tcW w:w="2030" w:type="dxa"/>
            <w:tcBorders>
              <w:top w:val="single" w:sz="8" w:space="0" w:color="C1C7CD"/>
              <w:left w:val="single" w:sz="8" w:space="0" w:color="C1C7CD"/>
            </w:tcBorders>
          </w:tcPr>
          <w:p w14:paraId="24EF3694" w14:textId="29C402DC" w:rsidR="00CA6E91" w:rsidRDefault="00CA6E91" w:rsidP="00D81113">
            <w:pPr>
              <w:spacing w:after="0"/>
              <w:ind w:left="240"/>
            </w:pPr>
            <w:r>
              <w:t>.84</w:t>
            </w:r>
          </w:p>
        </w:tc>
      </w:tr>
    </w:tbl>
    <w:p w14:paraId="014D1AFE" w14:textId="7158ECEC" w:rsidR="00D13653" w:rsidRDefault="00D13653" w:rsidP="007110DE">
      <w:pPr>
        <w:spacing w:after="0"/>
        <w:ind w:left="120"/>
        <w:rPr>
          <w:rFonts w:ascii="Cambria" w:hAnsi="Cambria"/>
          <w:color w:val="000000"/>
        </w:rPr>
      </w:pPr>
      <w:r>
        <w:rPr>
          <w:rFonts w:ascii="Cambria" w:hAnsi="Cambria"/>
          <w:color w:val="000000"/>
        </w:rPr>
        <w:t xml:space="preserve">NOTES: All statistics are based on all cohorts. </w:t>
      </w:r>
      <w:r w:rsidR="00C04CD3">
        <w:rPr>
          <w:rFonts w:ascii="Cambria" w:hAnsi="Cambria"/>
          <w:color w:val="000000"/>
        </w:rPr>
        <w:t>Predicted probabilities are derived from logistic regression models.</w:t>
      </w:r>
      <w:r>
        <w:rPr>
          <w:rFonts w:ascii="Cambria" w:hAnsi="Cambria"/>
          <w:color w:val="000000"/>
        </w:rPr>
        <w:t xml:space="preserve"> </w:t>
      </w:r>
      <w:r w:rsidR="00CF657A">
        <w:rPr>
          <w:rFonts w:ascii="Cambria" w:hAnsi="Cambria"/>
          <w:color w:val="000000"/>
        </w:rPr>
        <w:t xml:space="preserve">Probabilities </w:t>
      </w:r>
      <w:r>
        <w:rPr>
          <w:rFonts w:ascii="Cambria" w:hAnsi="Cambria"/>
          <w:color w:val="000000"/>
        </w:rPr>
        <w:t xml:space="preserve">in first column </w:t>
      </w:r>
      <w:r w:rsidR="00CF657A">
        <w:rPr>
          <w:rFonts w:ascii="Cambria" w:hAnsi="Cambria"/>
          <w:color w:val="000000"/>
        </w:rPr>
        <w:t xml:space="preserve">are not based on any </w:t>
      </w:r>
      <w:r>
        <w:rPr>
          <w:rFonts w:ascii="Cambria" w:hAnsi="Cambria"/>
          <w:color w:val="000000"/>
        </w:rPr>
        <w:t>control</w:t>
      </w:r>
      <w:r w:rsidR="00CF657A">
        <w:rPr>
          <w:rFonts w:ascii="Cambria" w:hAnsi="Cambria"/>
          <w:color w:val="000000"/>
        </w:rPr>
        <w:t>s</w:t>
      </w:r>
      <w:r>
        <w:rPr>
          <w:rFonts w:ascii="Cambria" w:hAnsi="Cambria"/>
          <w:color w:val="000000"/>
        </w:rPr>
        <w:t xml:space="preserve"> for any covariates. </w:t>
      </w:r>
      <w:r w:rsidR="00CF657A">
        <w:rPr>
          <w:rFonts w:ascii="Cambria" w:hAnsi="Cambria"/>
          <w:color w:val="000000"/>
        </w:rPr>
        <w:t xml:space="preserve">Those </w:t>
      </w:r>
      <w:r>
        <w:rPr>
          <w:rFonts w:ascii="Cambria" w:hAnsi="Cambria"/>
          <w:color w:val="000000"/>
        </w:rPr>
        <w:t xml:space="preserve">in the second and third columns </w:t>
      </w:r>
      <w:r w:rsidR="00CF657A">
        <w:rPr>
          <w:rFonts w:ascii="Cambria" w:hAnsi="Cambria"/>
          <w:color w:val="000000"/>
        </w:rPr>
        <w:t xml:space="preserve">are based on student demographics </w:t>
      </w:r>
      <w:r w:rsidR="00C631DC">
        <w:rPr>
          <w:rFonts w:ascii="Cambria" w:hAnsi="Cambria"/>
          <w:color w:val="000000"/>
        </w:rPr>
        <w:t xml:space="preserve">(gender, age, white/non-white, parents who are professionals, parents who went to university, two-parent families, student sexual identity, nativity </w:t>
      </w:r>
      <w:r>
        <w:rPr>
          <w:rFonts w:ascii="Cambria" w:hAnsi="Cambria"/>
          <w:color w:val="000000"/>
        </w:rPr>
        <w:t xml:space="preserve">and </w:t>
      </w:r>
      <w:r w:rsidR="00C631DC">
        <w:rPr>
          <w:rFonts w:ascii="Cambria" w:hAnsi="Cambria"/>
          <w:color w:val="000000"/>
        </w:rPr>
        <w:t xml:space="preserve">neighborhood income) and </w:t>
      </w:r>
      <w:r>
        <w:rPr>
          <w:rFonts w:ascii="Cambria" w:hAnsi="Cambria"/>
          <w:color w:val="000000"/>
        </w:rPr>
        <w:t>high school academics</w:t>
      </w:r>
      <w:r w:rsidR="00C631DC">
        <w:rPr>
          <w:rFonts w:ascii="Cambria" w:hAnsi="Cambria"/>
          <w:color w:val="000000"/>
        </w:rPr>
        <w:t xml:space="preserve"> (average grades, whether ever suspended, gifted and special needs statuses, whether ever dropped out of high school)</w:t>
      </w:r>
      <w:r>
        <w:rPr>
          <w:rFonts w:ascii="Cambria" w:hAnsi="Cambria"/>
          <w:color w:val="000000"/>
        </w:rPr>
        <w:t xml:space="preserve">. </w:t>
      </w:r>
      <w:r w:rsidR="00CF657A">
        <w:rPr>
          <w:rFonts w:ascii="Cambria" w:hAnsi="Cambria"/>
          <w:color w:val="000000"/>
        </w:rPr>
        <w:t xml:space="preserve">Predictions </w:t>
      </w:r>
      <w:r>
        <w:rPr>
          <w:rFonts w:ascii="Cambria" w:hAnsi="Cambria"/>
          <w:color w:val="000000"/>
        </w:rPr>
        <w:t>in the fourth column</w:t>
      </w:r>
      <w:r w:rsidR="00CF657A">
        <w:rPr>
          <w:rFonts w:ascii="Cambria" w:hAnsi="Cambria"/>
          <w:color w:val="000000"/>
        </w:rPr>
        <w:t xml:space="preserve"> </w:t>
      </w:r>
      <w:r>
        <w:rPr>
          <w:rFonts w:ascii="Cambria" w:hAnsi="Cambria"/>
          <w:color w:val="000000"/>
        </w:rPr>
        <w:t>add</w:t>
      </w:r>
      <w:r w:rsidR="00211758">
        <w:rPr>
          <w:rFonts w:ascii="Cambria" w:hAnsi="Cambria"/>
          <w:color w:val="000000"/>
        </w:rPr>
        <w:t xml:space="preserve"> </w:t>
      </w:r>
      <w:r>
        <w:rPr>
          <w:rFonts w:ascii="Cambria" w:hAnsi="Cambria"/>
          <w:color w:val="000000"/>
        </w:rPr>
        <w:t>control</w:t>
      </w:r>
      <w:r w:rsidR="00211758">
        <w:rPr>
          <w:rFonts w:ascii="Cambria" w:hAnsi="Cambria"/>
          <w:color w:val="000000"/>
        </w:rPr>
        <w:t>s</w:t>
      </w:r>
      <w:r>
        <w:rPr>
          <w:rFonts w:ascii="Cambria" w:hAnsi="Cambria"/>
          <w:color w:val="000000"/>
        </w:rPr>
        <w:t xml:space="preserve"> for transfer credits awarded.  </w:t>
      </w:r>
    </w:p>
    <w:p w14:paraId="70A24871" w14:textId="1B4272A4" w:rsidR="007110DE" w:rsidRDefault="007110DE" w:rsidP="007110DE">
      <w:pPr>
        <w:spacing w:after="0"/>
        <w:ind w:left="120"/>
      </w:pPr>
      <w:r>
        <w:rPr>
          <w:rFonts w:ascii="Cambria" w:hAnsi="Cambria"/>
          <w:color w:val="000000"/>
        </w:rPr>
        <w:t>NOTE: All comparisons are between transfer categories and all other students</w:t>
      </w:r>
      <w:r w:rsidR="00D13653">
        <w:rPr>
          <w:rFonts w:ascii="Cambria" w:hAnsi="Cambria"/>
          <w:color w:val="000000"/>
        </w:rPr>
        <w:t xml:space="preserve">: </w:t>
      </w:r>
      <w:r>
        <w:rPr>
          <w:rFonts w:ascii="Cambria" w:hAnsi="Cambria"/>
          <w:color w:val="000000"/>
        </w:rPr>
        <w:t>* denotes 2 tailed t-test p&lt;.05, ** p&lt;.01, ***p&lt;.001</w:t>
      </w:r>
    </w:p>
    <w:p w14:paraId="4549FF82" w14:textId="69B94F7D" w:rsidR="00DD2B36" w:rsidRPr="00CA6E91" w:rsidRDefault="007110DE" w:rsidP="00CA6E91">
      <w:pPr>
        <w:spacing w:after="0"/>
        <w:ind w:left="120"/>
      </w:pPr>
      <w:r>
        <w:rPr>
          <w:rFonts w:ascii="Cambria" w:hAnsi="Cambria"/>
          <w:color w:val="000000"/>
        </w:rPr>
        <w:t>NOTE: Due to small numbers, no statistics are included for 8 transfer students from private career colleges</w:t>
      </w:r>
      <w:r w:rsidR="00DD2B36">
        <w:rPr>
          <w:rFonts w:ascii="Cambria" w:hAnsi="Cambria"/>
          <w:color w:val="000000"/>
        </w:rPr>
        <w:t> </w:t>
      </w:r>
      <w:r w:rsidR="00DD2B36">
        <w:rPr>
          <w:rFonts w:ascii="Cambria" w:hAnsi="Cambria"/>
          <w:color w:val="000000"/>
        </w:rPr>
        <w:br w:type="page"/>
      </w:r>
    </w:p>
    <w:p w14:paraId="0D4104E9" w14:textId="77777777" w:rsidR="00F14699" w:rsidRDefault="009238FB" w:rsidP="000244C6">
      <w:pPr>
        <w:spacing w:after="0"/>
        <w:ind w:left="120"/>
        <w:jc w:val="center"/>
      </w:pPr>
      <w:r>
        <w:rPr>
          <w:rFonts w:ascii="Cambria" w:hAnsi="Cambria"/>
          <w:b/>
          <w:color w:val="000000"/>
        </w:rPr>
        <w:lastRenderedPageBreak/>
        <w:t>References</w:t>
      </w:r>
      <w:r>
        <w:rPr>
          <w:rFonts w:ascii="Cambria" w:hAnsi="Cambria"/>
          <w:color w:val="000000"/>
        </w:rPr>
        <w:t>:</w:t>
      </w:r>
    </w:p>
    <w:p w14:paraId="12660EE7" w14:textId="77777777" w:rsidR="00F14699" w:rsidRDefault="009238FB">
      <w:pPr>
        <w:spacing w:after="0"/>
        <w:ind w:left="120"/>
      </w:pPr>
      <w:r>
        <w:rPr>
          <w:rFonts w:ascii="Cambria" w:hAnsi="Cambria"/>
          <w:color w:val="000000"/>
        </w:rPr>
        <w:t> </w:t>
      </w:r>
    </w:p>
    <w:p w14:paraId="7056667E" w14:textId="280E1C1C" w:rsidR="00F14699" w:rsidRDefault="007F3085">
      <w:pPr>
        <w:spacing w:after="0"/>
        <w:ind w:left="120"/>
        <w:rPr>
          <w:rFonts w:ascii="Cambria" w:hAnsi="Cambria"/>
          <w:color w:val="000000"/>
        </w:rPr>
      </w:pPr>
      <w:r w:rsidRPr="007F3085">
        <w:rPr>
          <w:rFonts w:ascii="Cambria" w:hAnsi="Cambria"/>
          <w:color w:val="000000"/>
        </w:rPr>
        <w:t>Brown, Robert, Scott Davies and Neil Chakraborty. 2019. The University of Toronto‐Toronto District School Board Cohort Analysis Report 1: Introductory Findings. http://www.oise.utoronto.ca/depelab/wp-content/uploads/sites/41/2019/05/U-of-T-TDSB-Report-1-Final-May-8.pdf.</w:t>
      </w:r>
    </w:p>
    <w:p w14:paraId="0170691D" w14:textId="77777777" w:rsidR="008A2D57" w:rsidRDefault="008A2D57">
      <w:pPr>
        <w:spacing w:after="0"/>
        <w:ind w:left="120"/>
        <w:rPr>
          <w:rFonts w:ascii="Cambria" w:hAnsi="Cambria"/>
          <w:color w:val="000000"/>
        </w:rPr>
      </w:pPr>
    </w:p>
    <w:p w14:paraId="455DB86E" w14:textId="5C5B3A3B" w:rsidR="007F3085" w:rsidRDefault="00622A29" w:rsidP="00E85BCA">
      <w:pPr>
        <w:spacing w:after="0"/>
        <w:ind w:left="120"/>
        <w:rPr>
          <w:rFonts w:ascii="Cambria" w:hAnsi="Cambria"/>
          <w:color w:val="000000"/>
        </w:rPr>
      </w:pPr>
      <w:r>
        <w:rPr>
          <w:rFonts w:ascii="Cambria" w:hAnsi="Cambria"/>
          <w:color w:val="000000"/>
        </w:rPr>
        <w:t>Council of Educators of Toronto. 2016. University and college data tracking practices for first generation and transfer students in the Greater Toronto Area.  London ON: Academica Group.</w:t>
      </w:r>
    </w:p>
    <w:p w14:paraId="32D5C213" w14:textId="4D83282C" w:rsidR="00E85BCA" w:rsidRDefault="00E85BCA" w:rsidP="00E85BCA">
      <w:pPr>
        <w:spacing w:after="0"/>
        <w:ind w:left="120"/>
        <w:rPr>
          <w:rFonts w:ascii="Cambria" w:hAnsi="Cambria"/>
          <w:color w:val="000000"/>
        </w:rPr>
      </w:pPr>
    </w:p>
    <w:p w14:paraId="3BA8EE96" w14:textId="380029C0" w:rsidR="00E85BCA" w:rsidRPr="00EA6B07" w:rsidRDefault="00E85BCA" w:rsidP="00E85BCA">
      <w:pPr>
        <w:spacing w:after="0"/>
        <w:ind w:left="120"/>
        <w:rPr>
          <w:rFonts w:ascii="Cambria" w:hAnsi="Cambria"/>
          <w:color w:val="000000"/>
        </w:rPr>
      </w:pPr>
      <w:r>
        <w:rPr>
          <w:rFonts w:ascii="Cambria" w:hAnsi="Cambria"/>
          <w:color w:val="000000"/>
        </w:rPr>
        <w:t>Davies, Scott. 2020.</w:t>
      </w:r>
      <w:r w:rsidRPr="00E85BCA">
        <w:t xml:space="preserve"> </w:t>
      </w:r>
      <w:r w:rsidRPr="00E85BCA">
        <w:rPr>
          <w:rFonts w:ascii="Cambria" w:hAnsi="Cambria"/>
          <w:color w:val="000000"/>
        </w:rPr>
        <w:t>The TDSB-UofT Pilot Project on Transfer Students. Report to Ontario Council for Articulation and Transfer. Toronto.</w:t>
      </w:r>
    </w:p>
    <w:p w14:paraId="021457E7" w14:textId="77777777" w:rsidR="00EA6B07" w:rsidRDefault="00EA6B07">
      <w:pPr>
        <w:spacing w:after="0"/>
        <w:ind w:left="120"/>
        <w:rPr>
          <w:rFonts w:ascii="Cambria" w:hAnsi="Cambria"/>
          <w:color w:val="000000"/>
        </w:rPr>
      </w:pPr>
    </w:p>
    <w:p w14:paraId="0ACA78C2" w14:textId="7D257169" w:rsidR="008A2D57" w:rsidRDefault="008A2D57">
      <w:pPr>
        <w:spacing w:after="0"/>
        <w:ind w:left="120"/>
        <w:rPr>
          <w:rFonts w:ascii="Cambria" w:hAnsi="Cambria"/>
          <w:color w:val="000000"/>
        </w:rPr>
      </w:pPr>
      <w:r>
        <w:rPr>
          <w:rFonts w:ascii="Cambria" w:hAnsi="Cambria"/>
          <w:color w:val="000000"/>
        </w:rPr>
        <w:t xml:space="preserve">Finnie, Ross, Michael Dubois and Masashi Miyairi. 2020. </w:t>
      </w:r>
      <w:r w:rsidR="00314462">
        <w:rPr>
          <w:rFonts w:ascii="Cambria" w:hAnsi="Cambria"/>
          <w:color w:val="000000"/>
        </w:rPr>
        <w:t>Schooling and Labour Market Outcomes of Ontario Transfer Students: Evidence from PSE-Tax Linked Data.  Ottawa: Education Policy Research Institute.</w:t>
      </w:r>
      <w:r>
        <w:rPr>
          <w:rFonts w:ascii="Cambria" w:hAnsi="Cambria"/>
          <w:color w:val="000000"/>
        </w:rPr>
        <w:t xml:space="preserve">  </w:t>
      </w:r>
    </w:p>
    <w:p w14:paraId="207CD38A" w14:textId="6FCC1B7D" w:rsidR="001824B9" w:rsidRDefault="001824B9">
      <w:pPr>
        <w:spacing w:after="0"/>
        <w:ind w:left="120"/>
        <w:rPr>
          <w:rFonts w:ascii="Cambria" w:hAnsi="Cambria"/>
          <w:color w:val="000000"/>
        </w:rPr>
      </w:pPr>
    </w:p>
    <w:p w14:paraId="044779C2" w14:textId="589F927A" w:rsidR="001824B9" w:rsidRDefault="001824B9">
      <w:pPr>
        <w:spacing w:after="0"/>
        <w:ind w:left="120"/>
        <w:rPr>
          <w:rFonts w:ascii="Cambria" w:hAnsi="Cambria"/>
          <w:color w:val="000000"/>
        </w:rPr>
      </w:pPr>
      <w:r>
        <w:rPr>
          <w:rFonts w:ascii="Cambria" w:hAnsi="Cambria"/>
          <w:color w:val="000000"/>
        </w:rPr>
        <w:t>Hango, Darcy, David</w:t>
      </w:r>
      <w:r w:rsidRPr="001824B9">
        <w:rPr>
          <w:rFonts w:ascii="Cambria" w:hAnsi="Cambria"/>
          <w:color w:val="000000"/>
        </w:rPr>
        <w:t xml:space="preserve"> </w:t>
      </w:r>
      <w:r>
        <w:rPr>
          <w:rFonts w:ascii="Cambria" w:hAnsi="Cambria"/>
          <w:color w:val="000000"/>
        </w:rPr>
        <w:t xml:space="preserve">Zarifa, Roger Pizarro Milian and Brad Seward. 2019. “Roots and STEMS: Examining Field of Study Choices among Northern and Rural Youth in Canada.” </w:t>
      </w:r>
      <w:r w:rsidRPr="00385E6B">
        <w:rPr>
          <w:rFonts w:ascii="Cambria" w:hAnsi="Cambria"/>
          <w:i/>
          <w:color w:val="000000"/>
        </w:rPr>
        <w:t>Studies in Higher Education</w:t>
      </w:r>
      <w:r>
        <w:rPr>
          <w:rFonts w:ascii="Cambria" w:hAnsi="Cambria"/>
          <w:color w:val="000000"/>
        </w:rPr>
        <w:t> </w:t>
      </w:r>
      <w:r w:rsidRPr="001824B9">
        <w:rPr>
          <w:rFonts w:ascii="Cambria" w:hAnsi="Cambria"/>
          <w:color w:val="000000"/>
        </w:rPr>
        <w:t>https://doi.org/10.1080/03075079.2019.1643308</w:t>
      </w:r>
      <w:r>
        <w:rPr>
          <w:rFonts w:ascii="Cambria" w:hAnsi="Cambria"/>
          <w:color w:val="000000"/>
        </w:rPr>
        <w:t>.</w:t>
      </w:r>
    </w:p>
    <w:p w14:paraId="595BBF07" w14:textId="35DF3467" w:rsidR="008A2D57" w:rsidRDefault="008A2D57">
      <w:pPr>
        <w:spacing w:after="0"/>
        <w:ind w:left="120"/>
        <w:rPr>
          <w:rFonts w:ascii="Cambria" w:hAnsi="Cambria"/>
          <w:color w:val="000000"/>
        </w:rPr>
      </w:pPr>
    </w:p>
    <w:p w14:paraId="4EEA2564" w14:textId="435813E9" w:rsidR="00A018B6" w:rsidRDefault="00A018B6">
      <w:pPr>
        <w:spacing w:after="0"/>
        <w:ind w:left="120"/>
        <w:rPr>
          <w:rFonts w:ascii="Cambria" w:hAnsi="Cambria"/>
          <w:color w:val="000000"/>
        </w:rPr>
      </w:pPr>
      <w:r>
        <w:rPr>
          <w:rFonts w:ascii="Cambria" w:hAnsi="Cambria"/>
          <w:color w:val="000000"/>
        </w:rPr>
        <w:t xml:space="preserve">Heslop, Joanne. 2019. STP Research Results: Student Transitions and Enrolment Trends. </w:t>
      </w:r>
      <w:hyperlink r:id="rId16" w:history="1">
        <w:r>
          <w:rPr>
            <w:rStyle w:val="Hyperlink"/>
          </w:rPr>
          <w:t>https://www2.gov.bc.ca/assets/gov/education/post-secondary-education/data-research/stp/stp_research_results.pdf</w:t>
        </w:r>
      </w:hyperlink>
      <w:r>
        <w:t>.</w:t>
      </w:r>
    </w:p>
    <w:p w14:paraId="0278612E" w14:textId="77777777" w:rsidR="00A018B6" w:rsidRDefault="00A018B6">
      <w:pPr>
        <w:spacing w:after="0"/>
        <w:ind w:left="120"/>
        <w:rPr>
          <w:rFonts w:ascii="Cambria" w:hAnsi="Cambria"/>
          <w:color w:val="000000"/>
        </w:rPr>
      </w:pPr>
    </w:p>
    <w:p w14:paraId="233D875E" w14:textId="38B9D539" w:rsidR="0054522B" w:rsidRDefault="0054522B">
      <w:pPr>
        <w:spacing w:after="0"/>
        <w:ind w:left="120"/>
        <w:rPr>
          <w:rFonts w:ascii="Cambria" w:hAnsi="Cambria"/>
          <w:color w:val="000000"/>
        </w:rPr>
      </w:pPr>
      <w:r>
        <w:rPr>
          <w:rFonts w:ascii="Cambria" w:hAnsi="Cambria"/>
          <w:color w:val="000000"/>
        </w:rPr>
        <w:t>Lang, Daniel.</w:t>
      </w:r>
      <w:r w:rsidR="00C20E1A">
        <w:rPr>
          <w:rFonts w:ascii="Cambria" w:hAnsi="Cambria"/>
          <w:color w:val="000000"/>
        </w:rPr>
        <w:t xml:space="preserve"> 2018.</w:t>
      </w:r>
      <w:r>
        <w:rPr>
          <w:rFonts w:ascii="Cambria" w:hAnsi="Cambria"/>
          <w:color w:val="000000"/>
        </w:rPr>
        <w:t xml:space="preserve"> Deciding to Transfer: A Study of College to University Choice Updated for Internal Transfer.  </w:t>
      </w:r>
      <w:r w:rsidR="00C20E1A" w:rsidRPr="00385E6B">
        <w:rPr>
          <w:rFonts w:ascii="Cambria" w:hAnsi="Cambria"/>
          <w:i/>
          <w:color w:val="000000"/>
        </w:rPr>
        <w:t>College Quarterly</w:t>
      </w:r>
      <w:r w:rsidR="00C20E1A">
        <w:rPr>
          <w:rFonts w:ascii="Cambria" w:hAnsi="Cambria"/>
          <w:color w:val="000000"/>
        </w:rPr>
        <w:t xml:space="preserve"> 21(3).</w:t>
      </w:r>
    </w:p>
    <w:p w14:paraId="420E2900" w14:textId="77777777" w:rsidR="0054522B" w:rsidRDefault="0054522B">
      <w:pPr>
        <w:spacing w:after="0"/>
        <w:ind w:left="120"/>
        <w:rPr>
          <w:rFonts w:ascii="Cambria" w:hAnsi="Cambria"/>
          <w:color w:val="000000"/>
        </w:rPr>
      </w:pPr>
    </w:p>
    <w:p w14:paraId="6771C666" w14:textId="134C2EFD" w:rsidR="0065025C" w:rsidRDefault="0065025C">
      <w:pPr>
        <w:spacing w:after="0"/>
        <w:ind w:left="120"/>
        <w:rPr>
          <w:rFonts w:ascii="Cambria" w:hAnsi="Cambria"/>
          <w:color w:val="000000"/>
        </w:rPr>
      </w:pPr>
      <w:r>
        <w:rPr>
          <w:rFonts w:ascii="Cambria" w:hAnsi="Cambria"/>
          <w:color w:val="000000"/>
        </w:rPr>
        <w:t>Ontario Ministry of Colleges and Universities. 2018. Credit Transfer Flag Analysis 2015 to 2017. Unpublished Research Report, Toronto.</w:t>
      </w:r>
    </w:p>
    <w:p w14:paraId="6CB34A64" w14:textId="77777777" w:rsidR="0065025C" w:rsidRDefault="0065025C">
      <w:pPr>
        <w:spacing w:after="0"/>
        <w:ind w:left="120"/>
        <w:rPr>
          <w:rFonts w:ascii="Cambria" w:hAnsi="Cambria"/>
          <w:color w:val="000000"/>
        </w:rPr>
      </w:pPr>
    </w:p>
    <w:p w14:paraId="3DA6E0EA" w14:textId="7818B8AD" w:rsidR="00462894" w:rsidRDefault="00462894">
      <w:pPr>
        <w:spacing w:after="0"/>
        <w:ind w:left="120"/>
      </w:pPr>
      <w:r>
        <w:rPr>
          <w:rFonts w:ascii="Cambria" w:hAnsi="Cambria"/>
          <w:color w:val="000000"/>
        </w:rPr>
        <w:t>Trick</w:t>
      </w:r>
      <w:r w:rsidR="008A2D57">
        <w:rPr>
          <w:rFonts w:ascii="Cambria" w:hAnsi="Cambria"/>
          <w:color w:val="000000"/>
        </w:rPr>
        <w:t>, David</w:t>
      </w:r>
      <w:r w:rsidR="00664137">
        <w:rPr>
          <w:rFonts w:ascii="Cambria" w:hAnsi="Cambria"/>
          <w:color w:val="000000"/>
        </w:rPr>
        <w:t xml:space="preserve"> and Associates</w:t>
      </w:r>
      <w:r w:rsidR="008A2D57">
        <w:rPr>
          <w:rFonts w:ascii="Cambria" w:hAnsi="Cambria"/>
          <w:color w:val="000000"/>
        </w:rPr>
        <w:t>.</w:t>
      </w:r>
      <w:r w:rsidR="00664137">
        <w:rPr>
          <w:rFonts w:ascii="Cambria" w:hAnsi="Cambria"/>
          <w:color w:val="000000"/>
        </w:rPr>
        <w:t xml:space="preserve"> 2013. College to University Transfer Arrangements and Undergraduate Education: Ontario in a Nation and International Context. Toronto: Higher Education Quality Council of Ontario.</w:t>
      </w:r>
    </w:p>
    <w:p w14:paraId="49C67137" w14:textId="120019D4" w:rsidR="0086034E" w:rsidRDefault="0086034E">
      <w:pPr>
        <w:rPr>
          <w:rFonts w:ascii="Cambria" w:hAnsi="Cambria"/>
          <w:color w:val="000000"/>
        </w:rPr>
      </w:pPr>
      <w:r>
        <w:rPr>
          <w:rFonts w:ascii="Cambria" w:hAnsi="Cambria"/>
          <w:color w:val="000000"/>
        </w:rPr>
        <w:br w:type="page"/>
      </w:r>
    </w:p>
    <w:p w14:paraId="267F3E6E" w14:textId="6B6F9376" w:rsidR="00F14699" w:rsidRDefault="001D348E" w:rsidP="000244C6">
      <w:pPr>
        <w:spacing w:after="0"/>
        <w:ind w:left="120"/>
        <w:jc w:val="center"/>
      </w:pPr>
      <w:r>
        <w:rPr>
          <w:rFonts w:ascii="Cambria" w:hAnsi="Cambria"/>
          <w:b/>
          <w:color w:val="000000"/>
        </w:rPr>
        <w:lastRenderedPageBreak/>
        <w:t xml:space="preserve">Appendix </w:t>
      </w:r>
      <w:r w:rsidR="004C26E0">
        <w:rPr>
          <w:rFonts w:ascii="Cambria" w:hAnsi="Cambria"/>
          <w:b/>
          <w:color w:val="000000"/>
        </w:rPr>
        <w:t>1</w:t>
      </w:r>
      <w:r w:rsidR="009238FB">
        <w:rPr>
          <w:rFonts w:ascii="Cambria" w:hAnsi="Cambria"/>
          <w:b/>
          <w:color w:val="000000"/>
        </w:rPr>
        <w:t>: Missing Data Analys</w:t>
      </w:r>
      <w:r w:rsidR="00E62240">
        <w:rPr>
          <w:rFonts w:ascii="Cambria" w:hAnsi="Cambria"/>
          <w:b/>
          <w:color w:val="000000"/>
        </w:rPr>
        <w:t>e</w:t>
      </w:r>
      <w:r w:rsidR="009238FB">
        <w:rPr>
          <w:rFonts w:ascii="Cambria" w:hAnsi="Cambria"/>
          <w:b/>
          <w:color w:val="000000"/>
        </w:rPr>
        <w:t>s </w:t>
      </w:r>
      <w:r w:rsidR="00462894">
        <w:rPr>
          <w:rFonts w:ascii="Cambria" w:hAnsi="Cambria"/>
          <w:b/>
          <w:color w:val="000000"/>
        </w:rPr>
        <w:t xml:space="preserve">on Previous Institution </w:t>
      </w:r>
      <w:r w:rsidR="00E62240">
        <w:rPr>
          <w:rFonts w:ascii="Cambria" w:hAnsi="Cambria"/>
          <w:b/>
          <w:color w:val="000000"/>
        </w:rPr>
        <w:t xml:space="preserve">and Cohort </w:t>
      </w:r>
      <w:r w:rsidR="00462894">
        <w:rPr>
          <w:rFonts w:ascii="Cambria" w:hAnsi="Cambria"/>
          <w:b/>
          <w:color w:val="000000"/>
        </w:rPr>
        <w:t>Variable</w:t>
      </w:r>
      <w:r w:rsidR="00E62240">
        <w:rPr>
          <w:rFonts w:ascii="Cambria" w:hAnsi="Cambria"/>
          <w:b/>
          <w:color w:val="000000"/>
        </w:rPr>
        <w:t>s</w:t>
      </w:r>
    </w:p>
    <w:p w14:paraId="0FF86BAA" w14:textId="43B9B7BC" w:rsidR="004B0EE5" w:rsidRPr="004B0EE5" w:rsidRDefault="00462894" w:rsidP="004B0EE5">
      <w:pPr>
        <w:spacing w:after="0"/>
        <w:ind w:left="120"/>
        <w:rPr>
          <w:rFonts w:ascii="Cambria" w:hAnsi="Cambria"/>
          <w:color w:val="000000"/>
        </w:rPr>
      </w:pPr>
      <w:r>
        <w:rPr>
          <w:rFonts w:ascii="Cambria" w:hAnsi="Cambria"/>
          <w:color w:val="000000"/>
        </w:rPr>
        <w:tab/>
      </w:r>
      <w:r w:rsidR="009238FB">
        <w:rPr>
          <w:rFonts w:ascii="Cambria" w:hAnsi="Cambria"/>
          <w:color w:val="000000"/>
        </w:rPr>
        <w:t xml:space="preserve">The main variable used </w:t>
      </w:r>
      <w:r w:rsidR="00654BE7">
        <w:rPr>
          <w:rFonts w:ascii="Cambria" w:hAnsi="Cambria"/>
          <w:color w:val="000000"/>
        </w:rPr>
        <w:t xml:space="preserve">in this study </w:t>
      </w:r>
      <w:r w:rsidR="009238FB">
        <w:rPr>
          <w:rFonts w:ascii="Cambria" w:hAnsi="Cambria"/>
          <w:color w:val="000000"/>
        </w:rPr>
        <w:t>to identify transfer stude</w:t>
      </w:r>
      <w:r w:rsidR="004E528A">
        <w:rPr>
          <w:rFonts w:ascii="Cambria" w:hAnsi="Cambria"/>
          <w:color w:val="000000"/>
        </w:rPr>
        <w:t xml:space="preserve">nt </w:t>
      </w:r>
      <w:r w:rsidR="00654BE7">
        <w:rPr>
          <w:rFonts w:ascii="Cambria" w:hAnsi="Cambria"/>
          <w:color w:val="000000"/>
        </w:rPr>
        <w:t xml:space="preserve">was </w:t>
      </w:r>
      <w:r w:rsidR="004E528A">
        <w:rPr>
          <w:rFonts w:ascii="Cambria" w:hAnsi="Cambria"/>
          <w:color w:val="000000"/>
        </w:rPr>
        <w:t>"lat</w:t>
      </w:r>
      <w:r w:rsidR="00EA6B07">
        <w:rPr>
          <w:rFonts w:ascii="Cambria" w:hAnsi="Cambria"/>
          <w:color w:val="000000"/>
        </w:rPr>
        <w:t>est</w:t>
      </w:r>
      <w:r w:rsidR="004E528A">
        <w:rPr>
          <w:rFonts w:ascii="Cambria" w:hAnsi="Cambria"/>
          <w:color w:val="000000"/>
        </w:rPr>
        <w:t>_institutio</w:t>
      </w:r>
      <w:r w:rsidR="00EA6B07">
        <w:rPr>
          <w:rFonts w:ascii="Cambria" w:hAnsi="Cambria"/>
          <w:color w:val="000000"/>
        </w:rPr>
        <w:t>n</w:t>
      </w:r>
      <w:r w:rsidR="00654BE7">
        <w:rPr>
          <w:rFonts w:ascii="Cambria" w:hAnsi="Cambria"/>
          <w:color w:val="000000"/>
        </w:rPr>
        <w:t>,</w:t>
      </w:r>
      <w:r w:rsidR="004E528A">
        <w:rPr>
          <w:rFonts w:ascii="Cambria" w:hAnsi="Cambria"/>
          <w:color w:val="000000"/>
        </w:rPr>
        <w:t>"</w:t>
      </w:r>
      <w:r w:rsidR="009238FB">
        <w:rPr>
          <w:rFonts w:ascii="Cambria" w:hAnsi="Cambria"/>
          <w:color w:val="000000"/>
        </w:rPr>
        <w:t xml:space="preserve"> recorded by the U</w:t>
      </w:r>
      <w:r w:rsidR="004E528A">
        <w:rPr>
          <w:rFonts w:ascii="Cambria" w:hAnsi="Cambria"/>
          <w:color w:val="000000"/>
        </w:rPr>
        <w:t>niversity of Toronto.  This</w:t>
      </w:r>
      <w:r w:rsidR="009238FB">
        <w:rPr>
          <w:rFonts w:ascii="Cambria" w:hAnsi="Cambria"/>
          <w:color w:val="000000"/>
        </w:rPr>
        <w:t xml:space="preserve"> string variable </w:t>
      </w:r>
      <w:r w:rsidR="004E528A">
        <w:rPr>
          <w:rFonts w:ascii="Cambria" w:hAnsi="Cambria"/>
          <w:color w:val="000000"/>
        </w:rPr>
        <w:t>lists e</w:t>
      </w:r>
      <w:r w:rsidR="009238FB">
        <w:rPr>
          <w:rFonts w:ascii="Cambria" w:hAnsi="Cambria"/>
          <w:color w:val="000000"/>
        </w:rPr>
        <w:t xml:space="preserve">ither </w:t>
      </w:r>
      <w:r w:rsidR="00654BE7">
        <w:rPr>
          <w:rFonts w:ascii="Cambria" w:hAnsi="Cambria"/>
          <w:color w:val="000000"/>
        </w:rPr>
        <w:t xml:space="preserve">the </w:t>
      </w:r>
      <w:r w:rsidR="009238FB">
        <w:rPr>
          <w:rFonts w:ascii="Cambria" w:hAnsi="Cambria"/>
          <w:color w:val="000000"/>
        </w:rPr>
        <w:t xml:space="preserve">high school or postsecondary institution </w:t>
      </w:r>
      <w:r w:rsidR="00654BE7">
        <w:rPr>
          <w:rFonts w:ascii="Cambria" w:hAnsi="Cambria"/>
          <w:color w:val="000000"/>
        </w:rPr>
        <w:t>that students</w:t>
      </w:r>
      <w:r w:rsidR="009238FB">
        <w:rPr>
          <w:rFonts w:ascii="Cambria" w:hAnsi="Cambria"/>
          <w:color w:val="000000"/>
        </w:rPr>
        <w:t xml:space="preserve"> attended prior to ent</w:t>
      </w:r>
      <w:r w:rsidR="00654BE7">
        <w:rPr>
          <w:rFonts w:ascii="Cambria" w:hAnsi="Cambria"/>
          <w:color w:val="000000"/>
        </w:rPr>
        <w:t xml:space="preserve">ering </w:t>
      </w:r>
      <w:r w:rsidR="009238FB">
        <w:rPr>
          <w:rFonts w:ascii="Cambria" w:hAnsi="Cambria"/>
          <w:color w:val="000000"/>
        </w:rPr>
        <w:t>the University of Toronto.</w:t>
      </w:r>
      <w:r w:rsidR="00654BE7">
        <w:rPr>
          <w:rFonts w:ascii="Cambria" w:hAnsi="Cambria"/>
          <w:color w:val="000000"/>
        </w:rPr>
        <w:t xml:space="preserve"> </w:t>
      </w:r>
      <w:r w:rsidR="009A2EB2">
        <w:rPr>
          <w:rFonts w:ascii="Cambria" w:hAnsi="Cambria"/>
          <w:color w:val="000000"/>
        </w:rPr>
        <w:t>I coded each institution</w:t>
      </w:r>
      <w:r w:rsidR="00654BE7">
        <w:rPr>
          <w:rFonts w:ascii="Cambria" w:hAnsi="Cambria"/>
          <w:color w:val="000000"/>
        </w:rPr>
        <w:t xml:space="preserve"> for whether it was a high school or postsecondary institution,</w:t>
      </w:r>
      <w:r w:rsidR="009A2EB2">
        <w:rPr>
          <w:rFonts w:ascii="Cambria" w:hAnsi="Cambria"/>
          <w:color w:val="000000"/>
        </w:rPr>
        <w:t xml:space="preserve"> deeming the latter</w:t>
      </w:r>
      <w:r w:rsidR="00654BE7">
        <w:rPr>
          <w:rFonts w:ascii="Cambria" w:hAnsi="Cambria"/>
          <w:color w:val="000000"/>
        </w:rPr>
        <w:t xml:space="preserve"> to be transfer students.</w:t>
      </w:r>
      <w:r w:rsidR="009238FB">
        <w:rPr>
          <w:rFonts w:ascii="Cambria" w:hAnsi="Cambria"/>
          <w:color w:val="000000"/>
        </w:rPr>
        <w:t xml:space="preserve"> However, </w:t>
      </w:r>
      <w:r w:rsidR="002C36A7">
        <w:rPr>
          <w:rFonts w:ascii="Cambria" w:hAnsi="Cambria"/>
          <w:color w:val="000000"/>
        </w:rPr>
        <w:t>about 2</w:t>
      </w:r>
      <w:r w:rsidR="009238FB">
        <w:rPr>
          <w:rFonts w:ascii="Cambria" w:hAnsi="Cambria"/>
          <w:color w:val="000000"/>
        </w:rPr>
        <w:t xml:space="preserve">% of </w:t>
      </w:r>
      <w:r w:rsidR="007E3B28">
        <w:rPr>
          <w:rFonts w:ascii="Cambria" w:hAnsi="Cambria"/>
          <w:color w:val="000000"/>
        </w:rPr>
        <w:t xml:space="preserve">the </w:t>
      </w:r>
      <w:r w:rsidR="009238FB">
        <w:rPr>
          <w:rFonts w:ascii="Cambria" w:hAnsi="Cambria"/>
          <w:color w:val="000000"/>
        </w:rPr>
        <w:t xml:space="preserve">analytic sample </w:t>
      </w:r>
      <w:r w:rsidR="007E3B28">
        <w:rPr>
          <w:rFonts w:ascii="Cambria" w:hAnsi="Cambria"/>
          <w:color w:val="000000"/>
        </w:rPr>
        <w:t xml:space="preserve">had missing </w:t>
      </w:r>
      <w:r w:rsidR="004E528A">
        <w:rPr>
          <w:rFonts w:ascii="Cambria" w:hAnsi="Cambria"/>
          <w:color w:val="000000"/>
        </w:rPr>
        <w:t>information on that</w:t>
      </w:r>
      <w:r w:rsidR="009238FB">
        <w:rPr>
          <w:rFonts w:ascii="Cambria" w:hAnsi="Cambria"/>
          <w:color w:val="000000"/>
        </w:rPr>
        <w:t xml:space="preserve"> variable.</w:t>
      </w:r>
      <w:r w:rsidR="00D4292D">
        <w:rPr>
          <w:rFonts w:ascii="Cambria" w:hAnsi="Cambria"/>
          <w:color w:val="000000"/>
        </w:rPr>
        <w:t xml:space="preserve">  Since </w:t>
      </w:r>
      <w:r w:rsidR="00D4292D" w:rsidRPr="00D4292D">
        <w:rPr>
          <w:rFonts w:ascii="Cambria" w:hAnsi="Cambria"/>
          <w:color w:val="000000"/>
        </w:rPr>
        <w:t xml:space="preserve">OUAC </w:t>
      </w:r>
      <w:r w:rsidR="00D4292D">
        <w:rPr>
          <w:rFonts w:ascii="Cambria" w:hAnsi="Cambria"/>
          <w:color w:val="000000"/>
        </w:rPr>
        <w:t xml:space="preserve">normally codes automatically the school of </w:t>
      </w:r>
      <w:r w:rsidR="00D4292D" w:rsidRPr="00D4292D">
        <w:rPr>
          <w:rFonts w:ascii="Cambria" w:hAnsi="Cambria"/>
          <w:color w:val="000000"/>
        </w:rPr>
        <w:t>direct applicants from TDSB</w:t>
      </w:r>
      <w:r w:rsidR="009A2EB2">
        <w:rPr>
          <w:rFonts w:ascii="Cambria" w:hAnsi="Cambria"/>
          <w:color w:val="000000"/>
        </w:rPr>
        <w:t xml:space="preserve">, </w:t>
      </w:r>
      <w:r w:rsidR="00D4292D">
        <w:rPr>
          <w:rFonts w:ascii="Cambria" w:hAnsi="Cambria"/>
          <w:color w:val="000000"/>
        </w:rPr>
        <w:t>th</w:t>
      </w:r>
      <w:r w:rsidR="009A2EB2">
        <w:rPr>
          <w:rFonts w:ascii="Cambria" w:hAnsi="Cambria"/>
          <w:color w:val="000000"/>
        </w:rPr>
        <w:t>o</w:t>
      </w:r>
      <w:r w:rsidR="00D4292D">
        <w:rPr>
          <w:rFonts w:ascii="Cambria" w:hAnsi="Cambria"/>
          <w:color w:val="000000"/>
        </w:rPr>
        <w:t xml:space="preserve">se </w:t>
      </w:r>
      <w:r w:rsidR="009A2EB2">
        <w:rPr>
          <w:rFonts w:ascii="Cambria" w:hAnsi="Cambria"/>
          <w:color w:val="000000"/>
        </w:rPr>
        <w:t xml:space="preserve">with </w:t>
      </w:r>
      <w:r w:rsidR="00D4292D">
        <w:rPr>
          <w:rFonts w:ascii="Cambria" w:hAnsi="Cambria"/>
          <w:color w:val="000000"/>
        </w:rPr>
        <w:t xml:space="preserve">missing data </w:t>
      </w:r>
      <w:r w:rsidR="009A2EB2">
        <w:rPr>
          <w:rFonts w:ascii="Cambria" w:hAnsi="Cambria"/>
          <w:color w:val="000000"/>
        </w:rPr>
        <w:t xml:space="preserve">on that variable are likely not </w:t>
      </w:r>
      <w:r w:rsidR="00D4292D">
        <w:rPr>
          <w:rFonts w:ascii="Cambria" w:hAnsi="Cambria"/>
          <w:color w:val="000000"/>
        </w:rPr>
        <w:t xml:space="preserve">immediate entry students. </w:t>
      </w:r>
      <w:r w:rsidR="009238FB">
        <w:rPr>
          <w:rFonts w:ascii="Cambria" w:hAnsi="Cambria"/>
          <w:color w:val="000000"/>
        </w:rPr>
        <w:t> </w:t>
      </w:r>
    </w:p>
    <w:p w14:paraId="7A8ABDAD" w14:textId="667FBA92" w:rsidR="00F14699" w:rsidRDefault="004B0EE5">
      <w:pPr>
        <w:spacing w:after="0"/>
        <w:ind w:left="120"/>
      </w:pPr>
      <w:r>
        <w:rPr>
          <w:rFonts w:ascii="Cambria" w:hAnsi="Cambria"/>
          <w:color w:val="000000"/>
        </w:rPr>
        <w:tab/>
      </w:r>
      <w:r w:rsidR="002C36A7">
        <w:rPr>
          <w:rFonts w:ascii="Cambria" w:hAnsi="Cambria"/>
          <w:color w:val="000000"/>
        </w:rPr>
        <w:t xml:space="preserve">To </w:t>
      </w:r>
      <w:r w:rsidR="009A2EB2">
        <w:rPr>
          <w:rFonts w:ascii="Cambria" w:hAnsi="Cambria"/>
          <w:color w:val="000000"/>
        </w:rPr>
        <w:t>investigate</w:t>
      </w:r>
      <w:r w:rsidR="002C36A7">
        <w:rPr>
          <w:rFonts w:ascii="Cambria" w:hAnsi="Cambria"/>
          <w:color w:val="000000"/>
        </w:rPr>
        <w:t xml:space="preserve"> further, </w:t>
      </w:r>
      <w:r w:rsidR="004E528A">
        <w:rPr>
          <w:rFonts w:ascii="Cambria" w:hAnsi="Cambria"/>
          <w:color w:val="000000"/>
        </w:rPr>
        <w:t>I</w:t>
      </w:r>
      <w:r w:rsidR="009238FB">
        <w:rPr>
          <w:rFonts w:ascii="Cambria" w:hAnsi="Cambria"/>
          <w:color w:val="000000"/>
        </w:rPr>
        <w:t xml:space="preserve"> conduct</w:t>
      </w:r>
      <w:r w:rsidR="004E528A">
        <w:rPr>
          <w:rFonts w:ascii="Cambria" w:hAnsi="Cambria"/>
          <w:color w:val="000000"/>
        </w:rPr>
        <w:t>ed</w:t>
      </w:r>
      <w:r w:rsidR="009238FB">
        <w:rPr>
          <w:rFonts w:ascii="Cambria" w:hAnsi="Cambria"/>
          <w:color w:val="000000"/>
        </w:rPr>
        <w:t xml:space="preserve"> a missing data analysis</w:t>
      </w:r>
      <w:r w:rsidR="007E3B28">
        <w:rPr>
          <w:rFonts w:ascii="Cambria" w:hAnsi="Cambria"/>
          <w:color w:val="000000"/>
        </w:rPr>
        <w:t xml:space="preserve"> by </w:t>
      </w:r>
      <w:r w:rsidR="009238FB">
        <w:rPr>
          <w:rFonts w:ascii="Cambria" w:hAnsi="Cambria"/>
          <w:color w:val="000000"/>
        </w:rPr>
        <w:t>creat</w:t>
      </w:r>
      <w:r w:rsidR="004E528A">
        <w:rPr>
          <w:rFonts w:ascii="Cambria" w:hAnsi="Cambria"/>
          <w:color w:val="000000"/>
        </w:rPr>
        <w:t xml:space="preserve">ing </w:t>
      </w:r>
      <w:r w:rsidR="009238FB">
        <w:rPr>
          <w:rFonts w:ascii="Cambria" w:hAnsi="Cambria"/>
          <w:color w:val="000000"/>
        </w:rPr>
        <w:t>a d</w:t>
      </w:r>
      <w:r w:rsidR="004E528A">
        <w:rPr>
          <w:rFonts w:ascii="Cambria" w:hAnsi="Cambria"/>
          <w:color w:val="000000"/>
        </w:rPr>
        <w:t>ummy indicator of whether</w:t>
      </w:r>
      <w:r w:rsidR="009238FB">
        <w:rPr>
          <w:rFonts w:ascii="Cambria" w:hAnsi="Cambria"/>
          <w:color w:val="000000"/>
        </w:rPr>
        <w:t xml:space="preserve"> students had missing information on </w:t>
      </w:r>
      <w:r w:rsidR="004E528A">
        <w:rPr>
          <w:rFonts w:ascii="Cambria" w:hAnsi="Cambria"/>
          <w:color w:val="000000"/>
        </w:rPr>
        <w:t xml:space="preserve">that variable, and used that indicator in </w:t>
      </w:r>
      <w:r w:rsidR="009238FB">
        <w:rPr>
          <w:rFonts w:ascii="Cambria" w:hAnsi="Cambria"/>
          <w:color w:val="000000"/>
        </w:rPr>
        <w:t xml:space="preserve">a series of cross-tabulations and logistic regressions </w:t>
      </w:r>
      <w:r w:rsidR="007E3B28">
        <w:rPr>
          <w:rFonts w:ascii="Cambria" w:hAnsi="Cambria"/>
          <w:color w:val="000000"/>
        </w:rPr>
        <w:t xml:space="preserve">to </w:t>
      </w:r>
      <w:r w:rsidR="009238FB">
        <w:rPr>
          <w:rFonts w:ascii="Cambria" w:hAnsi="Cambria"/>
          <w:color w:val="000000"/>
        </w:rPr>
        <w:t xml:space="preserve">detect </w:t>
      </w:r>
      <w:r w:rsidR="007E3B28">
        <w:rPr>
          <w:rFonts w:ascii="Cambria" w:hAnsi="Cambria"/>
          <w:color w:val="000000"/>
        </w:rPr>
        <w:t xml:space="preserve">whether </w:t>
      </w:r>
      <w:r w:rsidR="009238FB">
        <w:rPr>
          <w:rFonts w:ascii="Cambria" w:hAnsi="Cambria"/>
          <w:color w:val="000000"/>
        </w:rPr>
        <w:t>patt</w:t>
      </w:r>
      <w:r w:rsidR="004E528A">
        <w:rPr>
          <w:rFonts w:ascii="Cambria" w:hAnsi="Cambria"/>
          <w:color w:val="000000"/>
        </w:rPr>
        <w:t xml:space="preserve">erns of missingness were related to students’ </w:t>
      </w:r>
      <w:r w:rsidR="009238FB">
        <w:rPr>
          <w:rFonts w:ascii="Cambria" w:hAnsi="Cambria"/>
          <w:color w:val="000000"/>
        </w:rPr>
        <w:t>high school academic profiles, de</w:t>
      </w:r>
      <w:r w:rsidR="004E528A">
        <w:rPr>
          <w:rFonts w:ascii="Cambria" w:hAnsi="Cambria"/>
          <w:color w:val="000000"/>
        </w:rPr>
        <w:t xml:space="preserve">mographics, and </w:t>
      </w:r>
      <w:r w:rsidR="007E3B28">
        <w:rPr>
          <w:rFonts w:ascii="Cambria" w:hAnsi="Cambria"/>
          <w:color w:val="000000"/>
        </w:rPr>
        <w:t xml:space="preserve">university </w:t>
      </w:r>
      <w:r w:rsidR="004E528A">
        <w:rPr>
          <w:rFonts w:ascii="Cambria" w:hAnsi="Cambria"/>
          <w:color w:val="000000"/>
        </w:rPr>
        <w:t>outcomes</w:t>
      </w:r>
      <w:r w:rsidR="009238FB">
        <w:rPr>
          <w:rFonts w:ascii="Cambria" w:hAnsi="Cambria"/>
          <w:color w:val="000000"/>
        </w:rPr>
        <w:t>.</w:t>
      </w:r>
    </w:p>
    <w:p w14:paraId="24381DA0" w14:textId="3771F5B9" w:rsidR="00F14699" w:rsidRDefault="009238FB">
      <w:pPr>
        <w:spacing w:after="0"/>
        <w:ind w:left="120"/>
        <w:rPr>
          <w:rFonts w:ascii="Cambria" w:hAnsi="Cambria"/>
          <w:color w:val="000000"/>
        </w:rPr>
      </w:pPr>
      <w:r>
        <w:rPr>
          <w:rFonts w:ascii="Cambria" w:hAnsi="Cambria"/>
          <w:color w:val="000000"/>
        </w:rPr>
        <w:t>       </w:t>
      </w:r>
      <w:r w:rsidR="00654BE7">
        <w:rPr>
          <w:rFonts w:ascii="Cambria" w:hAnsi="Cambria"/>
          <w:color w:val="000000"/>
        </w:rPr>
        <w:t xml:space="preserve">    D</w:t>
      </w:r>
      <w:r w:rsidR="001F7A28">
        <w:rPr>
          <w:rFonts w:ascii="Cambria" w:hAnsi="Cambria"/>
          <w:color w:val="000000"/>
        </w:rPr>
        <w:t xml:space="preserve">emographically, students with missing data </w:t>
      </w:r>
      <w:r w:rsidR="007E3B28">
        <w:rPr>
          <w:rFonts w:ascii="Cambria" w:hAnsi="Cambria"/>
          <w:color w:val="000000"/>
        </w:rPr>
        <w:t>were equally p</w:t>
      </w:r>
      <w:r w:rsidR="001F7A28">
        <w:rPr>
          <w:rFonts w:ascii="Cambria" w:hAnsi="Cambria"/>
          <w:color w:val="000000"/>
        </w:rPr>
        <w:t>roportion</w:t>
      </w:r>
      <w:r w:rsidR="007E3B28">
        <w:rPr>
          <w:rFonts w:ascii="Cambria" w:hAnsi="Cambria"/>
          <w:color w:val="000000"/>
        </w:rPr>
        <w:t>ed by gender</w:t>
      </w:r>
      <w:r w:rsidR="001F7A28">
        <w:rPr>
          <w:rFonts w:ascii="Cambria" w:hAnsi="Cambria"/>
          <w:color w:val="000000"/>
        </w:rPr>
        <w:t xml:space="preserve">, but were likelier to self-identify as White and to be born in Canada. </w:t>
      </w:r>
      <w:r w:rsidR="00461008">
        <w:rPr>
          <w:rFonts w:ascii="Cambria" w:hAnsi="Cambria"/>
          <w:color w:val="000000"/>
        </w:rPr>
        <w:t>The</w:t>
      </w:r>
      <w:r w:rsidR="007E3B28">
        <w:rPr>
          <w:rFonts w:ascii="Cambria" w:hAnsi="Cambria"/>
          <w:color w:val="000000"/>
        </w:rPr>
        <w:t xml:space="preserve"> stark</w:t>
      </w:r>
      <w:r w:rsidR="00461008">
        <w:rPr>
          <w:rFonts w:ascii="Cambria" w:hAnsi="Cambria"/>
          <w:color w:val="000000"/>
        </w:rPr>
        <w:t>est</w:t>
      </w:r>
      <w:r w:rsidR="007E3B28">
        <w:rPr>
          <w:rFonts w:ascii="Cambria" w:hAnsi="Cambria"/>
          <w:color w:val="000000"/>
        </w:rPr>
        <w:t xml:space="preserve"> differences </w:t>
      </w:r>
      <w:r w:rsidR="00461008">
        <w:rPr>
          <w:rFonts w:ascii="Cambria" w:hAnsi="Cambria"/>
          <w:color w:val="000000"/>
        </w:rPr>
        <w:t xml:space="preserve">between </w:t>
      </w:r>
      <w:r w:rsidR="00654BE7">
        <w:rPr>
          <w:rFonts w:ascii="Cambria" w:hAnsi="Cambria"/>
          <w:color w:val="000000"/>
        </w:rPr>
        <w:t>missing cases and all other students w</w:t>
      </w:r>
      <w:r w:rsidR="00461008">
        <w:rPr>
          <w:rFonts w:ascii="Cambria" w:hAnsi="Cambria"/>
          <w:color w:val="000000"/>
        </w:rPr>
        <w:t>ere</w:t>
      </w:r>
      <w:r w:rsidR="007E3B28">
        <w:rPr>
          <w:rFonts w:ascii="Cambria" w:hAnsi="Cambria"/>
          <w:color w:val="000000"/>
        </w:rPr>
        <w:t xml:space="preserve"> </w:t>
      </w:r>
      <w:r w:rsidR="00654BE7">
        <w:rPr>
          <w:rFonts w:ascii="Cambria" w:hAnsi="Cambria"/>
          <w:color w:val="000000"/>
        </w:rPr>
        <w:t xml:space="preserve">their </w:t>
      </w:r>
      <w:r w:rsidR="007E3B28">
        <w:rPr>
          <w:rFonts w:ascii="Cambria" w:hAnsi="Cambria"/>
          <w:color w:val="000000"/>
        </w:rPr>
        <w:t>high school academic records:</w:t>
      </w:r>
      <w:r w:rsidR="001F7A28">
        <w:rPr>
          <w:rFonts w:ascii="Cambria" w:hAnsi="Cambria"/>
          <w:color w:val="000000"/>
        </w:rPr>
        <w:t xml:space="preserve"> s</w:t>
      </w:r>
      <w:r w:rsidR="004E528A">
        <w:rPr>
          <w:rFonts w:ascii="Cambria" w:hAnsi="Cambria"/>
          <w:color w:val="000000"/>
        </w:rPr>
        <w:t>tudents</w:t>
      </w:r>
      <w:r w:rsidR="00654BE7">
        <w:rPr>
          <w:rFonts w:ascii="Cambria" w:hAnsi="Cambria"/>
          <w:color w:val="000000"/>
        </w:rPr>
        <w:t xml:space="preserve"> </w:t>
      </w:r>
      <w:r w:rsidR="004E528A">
        <w:rPr>
          <w:rFonts w:ascii="Cambria" w:hAnsi="Cambria"/>
          <w:color w:val="000000"/>
        </w:rPr>
        <w:t xml:space="preserve">with missing </w:t>
      </w:r>
      <w:r w:rsidR="00654BE7">
        <w:rPr>
          <w:rFonts w:ascii="Cambria" w:hAnsi="Cambria"/>
          <w:color w:val="000000"/>
        </w:rPr>
        <w:t xml:space="preserve">data for their prior institution </w:t>
      </w:r>
      <w:r w:rsidR="004E528A">
        <w:rPr>
          <w:rFonts w:ascii="Cambria" w:hAnsi="Cambria"/>
          <w:color w:val="000000"/>
        </w:rPr>
        <w:t xml:space="preserve">had </w:t>
      </w:r>
      <w:r>
        <w:rPr>
          <w:rFonts w:ascii="Cambria" w:hAnsi="Cambria"/>
          <w:color w:val="000000"/>
        </w:rPr>
        <w:t xml:space="preserve">far lower </w:t>
      </w:r>
      <w:r w:rsidR="00654BE7">
        <w:rPr>
          <w:rFonts w:ascii="Cambria" w:hAnsi="Cambria"/>
          <w:color w:val="000000"/>
        </w:rPr>
        <w:t xml:space="preserve">average </w:t>
      </w:r>
      <w:r>
        <w:rPr>
          <w:rFonts w:ascii="Cambria" w:hAnsi="Cambria"/>
          <w:color w:val="000000"/>
        </w:rPr>
        <w:t>grades</w:t>
      </w:r>
      <w:r w:rsidR="002C36A7">
        <w:rPr>
          <w:rFonts w:ascii="Cambria" w:hAnsi="Cambria"/>
          <w:color w:val="000000"/>
        </w:rPr>
        <w:t xml:space="preserve">, </w:t>
      </w:r>
      <w:r w:rsidR="004E528A">
        <w:rPr>
          <w:rFonts w:ascii="Cambria" w:hAnsi="Cambria"/>
          <w:color w:val="000000"/>
        </w:rPr>
        <w:t xml:space="preserve">higher </w:t>
      </w:r>
      <w:r>
        <w:rPr>
          <w:rFonts w:ascii="Cambria" w:hAnsi="Cambria"/>
          <w:color w:val="000000"/>
        </w:rPr>
        <w:t>suspension rate</w:t>
      </w:r>
      <w:r w:rsidR="004E528A">
        <w:rPr>
          <w:rFonts w:ascii="Cambria" w:hAnsi="Cambria"/>
          <w:color w:val="000000"/>
        </w:rPr>
        <w:t>s</w:t>
      </w:r>
      <w:r w:rsidR="002C36A7">
        <w:rPr>
          <w:rFonts w:ascii="Cambria" w:hAnsi="Cambria"/>
          <w:color w:val="000000"/>
        </w:rPr>
        <w:t xml:space="preserve">, and </w:t>
      </w:r>
      <w:r w:rsidR="007E3B28">
        <w:rPr>
          <w:rFonts w:ascii="Cambria" w:hAnsi="Cambria"/>
          <w:color w:val="000000"/>
        </w:rPr>
        <w:t xml:space="preserve">greater </w:t>
      </w:r>
      <w:r>
        <w:rPr>
          <w:rFonts w:ascii="Cambria" w:hAnsi="Cambria"/>
          <w:color w:val="000000"/>
        </w:rPr>
        <w:t>likelihood</w:t>
      </w:r>
      <w:r w:rsidR="00681FDB">
        <w:rPr>
          <w:rFonts w:ascii="Cambria" w:hAnsi="Cambria"/>
          <w:color w:val="000000"/>
        </w:rPr>
        <w:t>s</w:t>
      </w:r>
      <w:r>
        <w:rPr>
          <w:rFonts w:ascii="Cambria" w:hAnsi="Cambria"/>
          <w:color w:val="000000"/>
        </w:rPr>
        <w:t xml:space="preserve"> of having</w:t>
      </w:r>
      <w:r w:rsidR="004E528A">
        <w:rPr>
          <w:rFonts w:ascii="Cambria" w:hAnsi="Cambria"/>
          <w:color w:val="000000"/>
        </w:rPr>
        <w:t xml:space="preserve"> </w:t>
      </w:r>
      <w:r>
        <w:rPr>
          <w:rFonts w:ascii="Cambria" w:hAnsi="Cambria"/>
          <w:color w:val="000000"/>
        </w:rPr>
        <w:t>dropped out of high school. Logistic regres</w:t>
      </w:r>
      <w:r w:rsidR="004E528A">
        <w:rPr>
          <w:rFonts w:ascii="Cambria" w:hAnsi="Cambria"/>
          <w:color w:val="000000"/>
        </w:rPr>
        <w:t>sion models confirmed these bivariate</w:t>
      </w:r>
      <w:r>
        <w:rPr>
          <w:rFonts w:ascii="Cambria" w:hAnsi="Cambria"/>
          <w:color w:val="000000"/>
        </w:rPr>
        <w:t xml:space="preserve"> patterns, </w:t>
      </w:r>
      <w:r w:rsidR="004E528A">
        <w:rPr>
          <w:rFonts w:ascii="Cambria" w:hAnsi="Cambria"/>
          <w:color w:val="000000"/>
        </w:rPr>
        <w:t>illustrating s</w:t>
      </w:r>
      <w:r w:rsidR="009A2EB2">
        <w:rPr>
          <w:rFonts w:ascii="Cambria" w:hAnsi="Cambria"/>
          <w:color w:val="000000"/>
        </w:rPr>
        <w:t>tarkly</w:t>
      </w:r>
      <w:r>
        <w:rPr>
          <w:rFonts w:ascii="Cambria" w:hAnsi="Cambria"/>
          <w:color w:val="000000"/>
        </w:rPr>
        <w:t xml:space="preserve"> differ</w:t>
      </w:r>
      <w:r w:rsidR="00654BE7">
        <w:rPr>
          <w:rFonts w:ascii="Cambria" w:hAnsi="Cambria"/>
          <w:color w:val="000000"/>
        </w:rPr>
        <w:t xml:space="preserve">ing </w:t>
      </w:r>
      <w:r>
        <w:rPr>
          <w:rFonts w:ascii="Cambria" w:hAnsi="Cambria"/>
          <w:color w:val="000000"/>
        </w:rPr>
        <w:t xml:space="preserve">academic profiles </w:t>
      </w:r>
      <w:r w:rsidR="00654BE7">
        <w:rPr>
          <w:rFonts w:ascii="Cambria" w:hAnsi="Cambria"/>
          <w:color w:val="000000"/>
        </w:rPr>
        <w:t xml:space="preserve">of </w:t>
      </w:r>
      <w:r w:rsidR="004E528A">
        <w:rPr>
          <w:rFonts w:ascii="Cambria" w:hAnsi="Cambria"/>
          <w:color w:val="000000"/>
        </w:rPr>
        <w:t xml:space="preserve">missing data students </w:t>
      </w:r>
      <w:r w:rsidR="00654BE7">
        <w:rPr>
          <w:rFonts w:ascii="Cambria" w:hAnsi="Cambria"/>
          <w:color w:val="000000"/>
        </w:rPr>
        <w:t>versus</w:t>
      </w:r>
      <w:r w:rsidR="004E528A">
        <w:rPr>
          <w:rFonts w:ascii="Cambria" w:hAnsi="Cambria"/>
          <w:color w:val="000000"/>
        </w:rPr>
        <w:t xml:space="preserve"> all others</w:t>
      </w:r>
      <w:r>
        <w:rPr>
          <w:rFonts w:ascii="Cambria" w:hAnsi="Cambria"/>
          <w:color w:val="000000"/>
        </w:rPr>
        <w:t>.</w:t>
      </w:r>
      <w:r w:rsidR="001F7A28">
        <w:t xml:space="preserve"> </w:t>
      </w:r>
      <w:r w:rsidR="003351D9">
        <w:t xml:space="preserve"> </w:t>
      </w:r>
      <w:r w:rsidR="008B31E2">
        <w:rPr>
          <w:rFonts w:ascii="Cambria" w:hAnsi="Cambria"/>
          <w:color w:val="000000"/>
        </w:rPr>
        <w:t xml:space="preserve">Investigating further, I also compared missing data and transfer students on the same variables above. The profiles of missing data students were significantly different </w:t>
      </w:r>
      <w:r w:rsidR="003351D9">
        <w:rPr>
          <w:rFonts w:ascii="Cambria" w:hAnsi="Cambria"/>
          <w:color w:val="000000"/>
        </w:rPr>
        <w:t xml:space="preserve">from those of </w:t>
      </w:r>
      <w:r w:rsidR="008B31E2">
        <w:rPr>
          <w:rFonts w:ascii="Cambria" w:hAnsi="Cambria"/>
          <w:color w:val="000000"/>
        </w:rPr>
        <w:t>transfers.</w:t>
      </w:r>
      <w:r w:rsidR="003351D9">
        <w:rPr>
          <w:rFonts w:ascii="Cambria" w:hAnsi="Cambria"/>
          <w:color w:val="000000"/>
        </w:rPr>
        <w:t xml:space="preserve"> </w:t>
      </w:r>
      <w:r w:rsidR="008B31E2">
        <w:rPr>
          <w:rFonts w:ascii="Cambria" w:hAnsi="Cambria"/>
          <w:color w:val="000000"/>
        </w:rPr>
        <w:t>Th</w:t>
      </w:r>
      <w:r w:rsidR="003351D9">
        <w:rPr>
          <w:rFonts w:ascii="Cambria" w:hAnsi="Cambria"/>
          <w:color w:val="000000"/>
        </w:rPr>
        <w:t>ese empirical</w:t>
      </w:r>
      <w:r w:rsidR="008B31E2">
        <w:rPr>
          <w:rFonts w:ascii="Cambria" w:hAnsi="Cambria"/>
          <w:color w:val="000000"/>
        </w:rPr>
        <w:t xml:space="preserve"> pattern</w:t>
      </w:r>
      <w:r w:rsidR="003351D9">
        <w:rPr>
          <w:rFonts w:ascii="Cambria" w:hAnsi="Cambria"/>
          <w:color w:val="000000"/>
        </w:rPr>
        <w:t xml:space="preserve">s make </w:t>
      </w:r>
      <w:r w:rsidR="008B31E2">
        <w:rPr>
          <w:rFonts w:ascii="Cambria" w:hAnsi="Cambria"/>
          <w:color w:val="000000"/>
        </w:rPr>
        <w:t xml:space="preserve">it highly unlikely that missing data students were actually unidentified transfer students. Instead, </w:t>
      </w:r>
      <w:r w:rsidR="004B0EE5">
        <w:rPr>
          <w:rFonts w:ascii="Cambria" w:hAnsi="Cambria"/>
          <w:color w:val="000000"/>
        </w:rPr>
        <w:t xml:space="preserve">most </w:t>
      </w:r>
      <w:r w:rsidR="001F7A28">
        <w:rPr>
          <w:rFonts w:ascii="Cambria" w:hAnsi="Cambria"/>
          <w:color w:val="000000"/>
        </w:rPr>
        <w:t xml:space="preserve">appear to be non-traditional </w:t>
      </w:r>
      <w:r w:rsidR="004B0EE5">
        <w:rPr>
          <w:rFonts w:ascii="Cambria" w:hAnsi="Cambria"/>
          <w:color w:val="000000"/>
        </w:rPr>
        <w:t xml:space="preserve">or mature </w:t>
      </w:r>
      <w:r w:rsidR="001F7A28">
        <w:rPr>
          <w:rFonts w:ascii="Cambria" w:hAnsi="Cambria"/>
          <w:color w:val="000000"/>
        </w:rPr>
        <w:t>students who</w:t>
      </w:r>
      <w:r w:rsidR="004B0EE5" w:rsidRPr="004B0EE5">
        <w:rPr>
          <w:rFonts w:ascii="Cambria" w:hAnsi="Cambria"/>
          <w:color w:val="000000"/>
        </w:rPr>
        <w:t xml:space="preserve"> </w:t>
      </w:r>
      <w:r w:rsidR="004B0EE5">
        <w:rPr>
          <w:rFonts w:ascii="Cambria" w:hAnsi="Cambria"/>
          <w:color w:val="000000"/>
        </w:rPr>
        <w:t>had difficult high school careers, eventually</w:t>
      </w:r>
      <w:r w:rsidR="001F7A28">
        <w:rPr>
          <w:rFonts w:ascii="Cambria" w:hAnsi="Cambria"/>
          <w:color w:val="000000"/>
        </w:rPr>
        <w:t xml:space="preserve"> entered UofT</w:t>
      </w:r>
      <w:r w:rsidR="004B0EE5">
        <w:rPr>
          <w:rFonts w:ascii="Cambria" w:hAnsi="Cambria"/>
          <w:color w:val="000000"/>
        </w:rPr>
        <w:t xml:space="preserve"> through meandering paths, and then continued </w:t>
      </w:r>
      <w:r w:rsidR="008B31E2">
        <w:rPr>
          <w:rFonts w:ascii="Cambria" w:hAnsi="Cambria"/>
          <w:color w:val="000000"/>
        </w:rPr>
        <w:t>to encounter</w:t>
      </w:r>
      <w:r w:rsidR="004B0EE5">
        <w:rPr>
          <w:rFonts w:ascii="Cambria" w:hAnsi="Cambria"/>
          <w:color w:val="000000"/>
        </w:rPr>
        <w:t xml:space="preserve"> academic difficulties</w:t>
      </w:r>
      <w:r w:rsidR="00681FDB">
        <w:rPr>
          <w:rFonts w:ascii="Cambria" w:hAnsi="Cambria"/>
          <w:color w:val="000000"/>
        </w:rPr>
        <w:t>.</w:t>
      </w:r>
      <w:r w:rsidR="003D3350">
        <w:rPr>
          <w:rFonts w:ascii="Cambria" w:hAnsi="Cambria"/>
          <w:color w:val="000000"/>
        </w:rPr>
        <w:t xml:space="preserve"> </w:t>
      </w:r>
      <w:r w:rsidR="003351D9">
        <w:rPr>
          <w:rFonts w:ascii="Cambria" w:hAnsi="Cambria"/>
          <w:color w:val="000000"/>
        </w:rPr>
        <w:t xml:space="preserve">Those </w:t>
      </w:r>
      <w:r w:rsidR="003D3350">
        <w:rPr>
          <w:rFonts w:ascii="Cambria" w:hAnsi="Cambria"/>
          <w:color w:val="000000"/>
        </w:rPr>
        <w:t xml:space="preserve">students </w:t>
      </w:r>
      <w:r w:rsidR="003351D9">
        <w:rPr>
          <w:rFonts w:ascii="Cambria" w:hAnsi="Cambria"/>
          <w:color w:val="000000"/>
        </w:rPr>
        <w:t xml:space="preserve">likely </w:t>
      </w:r>
      <w:r w:rsidR="003D3350">
        <w:rPr>
          <w:rFonts w:ascii="Cambria" w:hAnsi="Cambria"/>
          <w:color w:val="000000"/>
        </w:rPr>
        <w:t>left TDSB full-time studies without graduating, and eventually completed</w:t>
      </w:r>
      <w:r w:rsidR="003D3350" w:rsidRPr="004B0EE5">
        <w:rPr>
          <w:rFonts w:ascii="Cambria" w:hAnsi="Cambria"/>
          <w:color w:val="000000"/>
        </w:rPr>
        <w:t xml:space="preserve"> their diploma requirements in </w:t>
      </w:r>
      <w:r w:rsidR="003D3350">
        <w:rPr>
          <w:rFonts w:ascii="Cambria" w:hAnsi="Cambria"/>
          <w:color w:val="000000"/>
        </w:rPr>
        <w:t>ano</w:t>
      </w:r>
      <w:r w:rsidR="003D3350" w:rsidRPr="004B0EE5">
        <w:rPr>
          <w:rFonts w:ascii="Cambria" w:hAnsi="Cambria"/>
          <w:color w:val="000000"/>
        </w:rPr>
        <w:t xml:space="preserve">ther format </w:t>
      </w:r>
      <w:r w:rsidR="003D3350">
        <w:rPr>
          <w:rFonts w:ascii="Cambria" w:hAnsi="Cambria"/>
          <w:color w:val="000000"/>
        </w:rPr>
        <w:t>such as e-</w:t>
      </w:r>
      <w:r w:rsidR="003D3350" w:rsidRPr="004B0EE5">
        <w:rPr>
          <w:rFonts w:ascii="Cambria" w:hAnsi="Cambria"/>
          <w:color w:val="000000"/>
        </w:rPr>
        <w:t xml:space="preserve">learning, night school, </w:t>
      </w:r>
      <w:r w:rsidR="003D3350">
        <w:rPr>
          <w:rFonts w:ascii="Cambria" w:hAnsi="Cambria"/>
          <w:color w:val="000000"/>
        </w:rPr>
        <w:t xml:space="preserve">adult </w:t>
      </w:r>
      <w:r w:rsidR="003D3350" w:rsidRPr="004B0EE5">
        <w:rPr>
          <w:rFonts w:ascii="Cambria" w:hAnsi="Cambria"/>
          <w:color w:val="000000"/>
        </w:rPr>
        <w:t>e</w:t>
      </w:r>
      <w:r w:rsidR="003D3350">
        <w:rPr>
          <w:rFonts w:ascii="Cambria" w:hAnsi="Cambria"/>
          <w:color w:val="000000"/>
        </w:rPr>
        <w:t xml:space="preserve">ducation, etc., before </w:t>
      </w:r>
      <w:r w:rsidR="003D3350" w:rsidRPr="004B0EE5">
        <w:rPr>
          <w:rFonts w:ascii="Cambria" w:hAnsi="Cambria"/>
          <w:color w:val="000000"/>
        </w:rPr>
        <w:t>appl</w:t>
      </w:r>
      <w:r w:rsidR="003D3350">
        <w:rPr>
          <w:rFonts w:ascii="Cambria" w:hAnsi="Cambria"/>
          <w:color w:val="000000"/>
        </w:rPr>
        <w:t>ying to UofT</w:t>
      </w:r>
      <w:r w:rsidR="003D3350" w:rsidRPr="004B0EE5">
        <w:rPr>
          <w:rFonts w:ascii="Cambria" w:hAnsi="Cambria"/>
          <w:color w:val="000000"/>
        </w:rPr>
        <w:t>.</w:t>
      </w:r>
      <w:r w:rsidR="003D3350">
        <w:rPr>
          <w:rFonts w:ascii="Cambria" w:hAnsi="Cambria"/>
          <w:color w:val="000000"/>
        </w:rPr>
        <w:t xml:space="preserve"> Those alternate formats might not have been recorded by UofT.</w:t>
      </w:r>
      <w:r w:rsidR="00AB4326">
        <w:rPr>
          <w:rFonts w:ascii="Cambria" w:hAnsi="Cambria"/>
          <w:color w:val="000000"/>
        </w:rPr>
        <w:t xml:space="preserve"> Many might have entered UofT through alternative programs like its Transitional Year Program (TYP).</w:t>
      </w:r>
      <w:r w:rsidR="00681FDB">
        <w:rPr>
          <w:rFonts w:ascii="Cambria" w:hAnsi="Cambria"/>
          <w:color w:val="000000"/>
        </w:rPr>
        <w:t xml:space="preserve"> </w:t>
      </w:r>
      <w:r>
        <w:rPr>
          <w:rFonts w:ascii="Cambria" w:hAnsi="Cambria"/>
          <w:color w:val="000000"/>
        </w:rPr>
        <w:t xml:space="preserve"> </w:t>
      </w:r>
      <w:r w:rsidR="00E85990">
        <w:rPr>
          <w:rFonts w:ascii="Cambria" w:hAnsi="Cambria"/>
          <w:color w:val="000000"/>
        </w:rPr>
        <w:t>Thus, m</w:t>
      </w:r>
      <w:r w:rsidR="006F3E88">
        <w:rPr>
          <w:rFonts w:ascii="Cambria" w:hAnsi="Cambria"/>
          <w:color w:val="000000"/>
        </w:rPr>
        <w:t xml:space="preserve">issing data on previous institution appears to be an indicator of academic marginality, </w:t>
      </w:r>
      <w:r w:rsidR="004B0EE5">
        <w:rPr>
          <w:rFonts w:ascii="Cambria" w:hAnsi="Cambria"/>
          <w:color w:val="000000"/>
        </w:rPr>
        <w:t xml:space="preserve">rather than being </w:t>
      </w:r>
      <w:r w:rsidR="006F3E88">
        <w:rPr>
          <w:rFonts w:ascii="Cambria" w:hAnsi="Cambria"/>
          <w:color w:val="000000"/>
        </w:rPr>
        <w:t>correlate</w:t>
      </w:r>
      <w:r w:rsidR="00E85990">
        <w:rPr>
          <w:rFonts w:ascii="Cambria" w:hAnsi="Cambria"/>
          <w:color w:val="000000"/>
        </w:rPr>
        <w:t>d</w:t>
      </w:r>
      <w:r w:rsidR="006F3E88">
        <w:rPr>
          <w:rFonts w:ascii="Cambria" w:hAnsi="Cambria"/>
          <w:color w:val="000000"/>
        </w:rPr>
        <w:t xml:space="preserve"> with postsecondary transfer.</w:t>
      </w:r>
      <w:r w:rsidR="00462894">
        <w:rPr>
          <w:rFonts w:ascii="Cambria" w:hAnsi="Cambria"/>
          <w:color w:val="000000"/>
        </w:rPr>
        <w:t> Thus, we can treat our findings on transfer students with confidence.</w:t>
      </w:r>
    </w:p>
    <w:p w14:paraId="27CCB563" w14:textId="735750E2" w:rsidR="00E62240" w:rsidRDefault="00E62240">
      <w:pPr>
        <w:spacing w:after="0"/>
        <w:ind w:left="120"/>
        <w:rPr>
          <w:rFonts w:ascii="Cambria" w:hAnsi="Cambria"/>
          <w:color w:val="000000"/>
        </w:rPr>
      </w:pPr>
    </w:p>
    <w:p w14:paraId="4FA3AA93" w14:textId="74E76BE8" w:rsidR="00127EB5" w:rsidRDefault="007F5A97" w:rsidP="007F5A97">
      <w:pPr>
        <w:spacing w:after="0"/>
        <w:ind w:left="120"/>
        <w:rPr>
          <w:rFonts w:ascii="Cambria" w:hAnsi="Cambria"/>
          <w:color w:val="000000"/>
        </w:rPr>
      </w:pPr>
      <w:r>
        <w:rPr>
          <w:rFonts w:ascii="Cambria" w:hAnsi="Cambria"/>
          <w:color w:val="000000"/>
        </w:rPr>
        <w:tab/>
      </w:r>
      <w:r w:rsidR="00E62240">
        <w:rPr>
          <w:rFonts w:ascii="Cambria" w:hAnsi="Cambria"/>
          <w:color w:val="000000"/>
        </w:rPr>
        <w:t xml:space="preserve">A second variable with missing data that could potentially impact analyses was the cohort variable. As mentioned above, that variable had 20% missing values. Fortunately, </w:t>
      </w:r>
      <w:r w:rsidR="003351D9">
        <w:rPr>
          <w:rFonts w:ascii="Cambria" w:hAnsi="Cambria"/>
          <w:color w:val="000000"/>
        </w:rPr>
        <w:t xml:space="preserve">their </w:t>
      </w:r>
      <w:r w:rsidR="00E62240">
        <w:rPr>
          <w:rFonts w:ascii="Cambria" w:hAnsi="Cambria"/>
          <w:color w:val="000000"/>
        </w:rPr>
        <w:t>patterns of missingness were largely un</w:t>
      </w:r>
      <w:r w:rsidR="003351D9">
        <w:rPr>
          <w:rFonts w:ascii="Cambria" w:hAnsi="Cambria"/>
          <w:color w:val="000000"/>
        </w:rPr>
        <w:t xml:space="preserve">associated </w:t>
      </w:r>
      <w:r w:rsidR="00E62240">
        <w:rPr>
          <w:rFonts w:ascii="Cambria" w:hAnsi="Cambria"/>
          <w:color w:val="000000"/>
        </w:rPr>
        <w:t>with other major variables</w:t>
      </w:r>
      <w:r w:rsidR="003351D9">
        <w:rPr>
          <w:rFonts w:ascii="Cambria" w:hAnsi="Cambria"/>
          <w:color w:val="000000"/>
        </w:rPr>
        <w:t xml:space="preserve"> such as </w:t>
      </w:r>
      <w:r w:rsidR="00E62240">
        <w:rPr>
          <w:rFonts w:ascii="Cambria" w:hAnsi="Cambria"/>
          <w:color w:val="000000"/>
        </w:rPr>
        <w:t>graduation rates. Those rates for the major 6 cohorts were, in chronological order, 77%, 78%, 80%, 79%, 78%, and 78%</w:t>
      </w:r>
      <w:r w:rsidR="003351D9">
        <w:rPr>
          <w:rFonts w:ascii="Cambria" w:hAnsi="Cambria"/>
          <w:color w:val="000000"/>
        </w:rPr>
        <w:t xml:space="preserve">, suggesting </w:t>
      </w:r>
      <w:r w:rsidR="00E62240">
        <w:rPr>
          <w:rFonts w:ascii="Cambria" w:hAnsi="Cambria"/>
          <w:color w:val="000000"/>
        </w:rPr>
        <w:t>no clear negative</w:t>
      </w:r>
      <w:r w:rsidR="003351D9">
        <w:rPr>
          <w:rFonts w:ascii="Cambria" w:hAnsi="Cambria"/>
          <w:color w:val="000000"/>
        </w:rPr>
        <w:t xml:space="preserve"> nor </w:t>
      </w:r>
      <w:r w:rsidR="00E62240">
        <w:rPr>
          <w:rFonts w:ascii="Cambria" w:hAnsi="Cambria"/>
          <w:color w:val="000000"/>
        </w:rPr>
        <w:t>linear relationship between cohort and graduation</w:t>
      </w:r>
      <w:r>
        <w:rPr>
          <w:rFonts w:ascii="Cambria" w:hAnsi="Cambria"/>
          <w:color w:val="000000"/>
        </w:rPr>
        <w:t xml:space="preserve">, despite the plausibility that </w:t>
      </w:r>
      <w:r w:rsidR="00E62240">
        <w:rPr>
          <w:rFonts w:ascii="Cambria" w:hAnsi="Cambria"/>
          <w:color w:val="000000"/>
        </w:rPr>
        <w:t xml:space="preserve">earlier cohorts </w:t>
      </w:r>
      <w:r>
        <w:rPr>
          <w:rFonts w:ascii="Cambria" w:hAnsi="Cambria"/>
          <w:color w:val="000000"/>
        </w:rPr>
        <w:t xml:space="preserve">should </w:t>
      </w:r>
      <w:r w:rsidR="00E62240">
        <w:rPr>
          <w:rFonts w:ascii="Cambria" w:hAnsi="Cambria"/>
          <w:color w:val="000000"/>
        </w:rPr>
        <w:t xml:space="preserve">have higher graduation rates given their greater time to complete degrees. </w:t>
      </w:r>
      <w:r>
        <w:rPr>
          <w:rFonts w:ascii="Cambria" w:hAnsi="Cambria"/>
          <w:color w:val="000000"/>
        </w:rPr>
        <w:t xml:space="preserve"> Students with </w:t>
      </w:r>
      <w:r w:rsidR="00E62240" w:rsidRPr="00127EB5">
        <w:rPr>
          <w:rFonts w:ascii="Cambria" w:hAnsi="Cambria"/>
          <w:color w:val="000000"/>
        </w:rPr>
        <w:t xml:space="preserve">missing </w:t>
      </w:r>
      <w:r>
        <w:rPr>
          <w:rFonts w:ascii="Cambria" w:hAnsi="Cambria"/>
          <w:color w:val="000000"/>
        </w:rPr>
        <w:t xml:space="preserve">values for </w:t>
      </w:r>
      <w:r w:rsidR="00E62240" w:rsidRPr="00127EB5">
        <w:rPr>
          <w:rFonts w:ascii="Cambria" w:hAnsi="Cambria"/>
          <w:color w:val="000000"/>
        </w:rPr>
        <w:t xml:space="preserve">cohort </w:t>
      </w:r>
      <w:r>
        <w:rPr>
          <w:rFonts w:ascii="Cambria" w:hAnsi="Cambria"/>
          <w:color w:val="000000"/>
        </w:rPr>
        <w:t xml:space="preserve">did have lower graduation rates than the average, </w:t>
      </w:r>
      <w:r w:rsidR="00E62240" w:rsidRPr="00127EB5">
        <w:rPr>
          <w:rFonts w:ascii="Cambria" w:hAnsi="Cambria"/>
          <w:color w:val="000000"/>
        </w:rPr>
        <w:t xml:space="preserve">74% compared to </w:t>
      </w:r>
      <w:r w:rsidR="00127EB5" w:rsidRPr="00127EB5">
        <w:rPr>
          <w:rFonts w:ascii="Cambria" w:hAnsi="Cambria"/>
          <w:color w:val="000000"/>
        </w:rPr>
        <w:t>78%</w:t>
      </w:r>
      <w:r>
        <w:rPr>
          <w:rFonts w:ascii="Cambria" w:hAnsi="Cambria"/>
          <w:color w:val="000000"/>
        </w:rPr>
        <w:t>. Their C</w:t>
      </w:r>
      <w:r w:rsidR="00127EB5">
        <w:rPr>
          <w:rFonts w:ascii="Cambria" w:hAnsi="Cambria"/>
          <w:color w:val="000000"/>
        </w:rPr>
        <w:t>GPAs were</w:t>
      </w:r>
      <w:r>
        <w:rPr>
          <w:rFonts w:ascii="Cambria" w:hAnsi="Cambria"/>
          <w:color w:val="000000"/>
        </w:rPr>
        <w:t xml:space="preserve"> also slightly lower</w:t>
      </w:r>
      <w:r w:rsidR="00127EB5">
        <w:rPr>
          <w:rFonts w:ascii="Cambria" w:hAnsi="Cambria"/>
          <w:color w:val="000000"/>
        </w:rPr>
        <w:t xml:space="preserve">, </w:t>
      </w:r>
      <w:r w:rsidR="00127EB5" w:rsidRPr="00127EB5">
        <w:rPr>
          <w:rFonts w:ascii="Cambria" w:hAnsi="Cambria"/>
          <w:color w:val="000000"/>
        </w:rPr>
        <w:t>2.5</w:t>
      </w:r>
      <w:r w:rsidR="00127EB5">
        <w:rPr>
          <w:rFonts w:ascii="Cambria" w:hAnsi="Cambria"/>
          <w:color w:val="000000"/>
        </w:rPr>
        <w:t>1 versus 2.66</w:t>
      </w:r>
      <w:r>
        <w:rPr>
          <w:rFonts w:ascii="Cambria" w:hAnsi="Cambria"/>
          <w:color w:val="000000"/>
        </w:rPr>
        <w:t>, as were their credits earned, 17.2 versus 18.0. Conversely, ST</w:t>
      </w:r>
      <w:r w:rsidR="00127EB5">
        <w:rPr>
          <w:rFonts w:ascii="Cambria" w:hAnsi="Cambria"/>
          <w:color w:val="000000"/>
        </w:rPr>
        <w:t xml:space="preserve">EM enrolments were actually higher </w:t>
      </w:r>
      <w:r>
        <w:rPr>
          <w:rFonts w:ascii="Cambria" w:hAnsi="Cambria"/>
          <w:color w:val="000000"/>
        </w:rPr>
        <w:t xml:space="preserve">among </w:t>
      </w:r>
      <w:r w:rsidR="00127EB5">
        <w:rPr>
          <w:rFonts w:ascii="Cambria" w:hAnsi="Cambria"/>
          <w:color w:val="000000"/>
        </w:rPr>
        <w:t>missing data students: 50% versus 44%</w:t>
      </w:r>
      <w:r>
        <w:rPr>
          <w:rFonts w:ascii="Cambria" w:hAnsi="Cambria"/>
          <w:color w:val="000000"/>
        </w:rPr>
        <w:t xml:space="preserve"> for all other students.  The main source of those </w:t>
      </w:r>
      <w:r>
        <w:rPr>
          <w:rFonts w:ascii="Cambria" w:hAnsi="Cambria"/>
          <w:color w:val="000000"/>
        </w:rPr>
        <w:lastRenderedPageBreak/>
        <w:t>missing data was that they also had missing data on another key TDSB measures, students’ average high school grades.</w:t>
      </w:r>
    </w:p>
    <w:p w14:paraId="6D239BB0" w14:textId="0A18AB3F" w:rsidR="00C631FD" w:rsidRDefault="00C631FD" w:rsidP="007F5A97">
      <w:pPr>
        <w:spacing w:after="0"/>
        <w:ind w:left="120"/>
        <w:rPr>
          <w:rFonts w:ascii="Cambria" w:hAnsi="Cambria"/>
          <w:color w:val="000000"/>
        </w:rPr>
      </w:pPr>
    </w:p>
    <w:p w14:paraId="6F6E508C" w14:textId="218F51A8" w:rsidR="00C631FD" w:rsidRPr="00C631FD" w:rsidRDefault="00C631FD" w:rsidP="00C631FD">
      <w:pPr>
        <w:spacing w:after="0"/>
        <w:ind w:left="120"/>
        <w:jc w:val="center"/>
        <w:rPr>
          <w:rFonts w:ascii="Cambria" w:hAnsi="Cambria"/>
          <w:b/>
          <w:color w:val="000000"/>
        </w:rPr>
      </w:pPr>
      <w:r w:rsidRPr="00C631FD">
        <w:rPr>
          <w:rFonts w:ascii="Cambria" w:hAnsi="Cambria"/>
          <w:b/>
          <w:color w:val="000000"/>
        </w:rPr>
        <w:t>Appendix #2: The Impacts of Extra Credits and High School Stream</w:t>
      </w:r>
    </w:p>
    <w:p w14:paraId="123C64D0" w14:textId="77777777" w:rsidR="00C631FD" w:rsidRDefault="00C631FD" w:rsidP="007F5A97">
      <w:pPr>
        <w:spacing w:after="0"/>
        <w:ind w:left="120"/>
        <w:rPr>
          <w:rFonts w:ascii="Cambria" w:hAnsi="Cambria"/>
          <w:color w:val="000000"/>
        </w:rPr>
      </w:pPr>
    </w:p>
    <w:p w14:paraId="65C9E953" w14:textId="742AEABF" w:rsidR="00C631FD" w:rsidRDefault="00C37563" w:rsidP="007F5A97">
      <w:pPr>
        <w:spacing w:after="0"/>
        <w:ind w:left="120"/>
        <w:rPr>
          <w:rFonts w:ascii="Cambria" w:hAnsi="Cambria"/>
          <w:color w:val="000000"/>
        </w:rPr>
      </w:pPr>
      <w:r>
        <w:rPr>
          <w:rFonts w:ascii="Cambria" w:hAnsi="Cambria"/>
          <w:color w:val="000000"/>
        </w:rPr>
        <w:tab/>
      </w:r>
      <w:r w:rsidR="00892419">
        <w:rPr>
          <w:rFonts w:ascii="Cambria" w:hAnsi="Cambria"/>
          <w:color w:val="000000"/>
        </w:rPr>
        <w:t>By request, s</w:t>
      </w:r>
      <w:r>
        <w:rPr>
          <w:rFonts w:ascii="Cambria" w:hAnsi="Cambria"/>
          <w:color w:val="000000"/>
        </w:rPr>
        <w:t>ome extra analyses were conducted to ex</w:t>
      </w:r>
      <w:r w:rsidR="00892419">
        <w:rPr>
          <w:rFonts w:ascii="Cambria" w:hAnsi="Cambria"/>
          <w:color w:val="000000"/>
        </w:rPr>
        <w:t xml:space="preserve">plore </w:t>
      </w:r>
      <w:r>
        <w:rPr>
          <w:rFonts w:ascii="Cambria" w:hAnsi="Cambria"/>
          <w:color w:val="000000"/>
        </w:rPr>
        <w:t xml:space="preserve">two additional issues. First, </w:t>
      </w:r>
      <w:r w:rsidR="0078253E">
        <w:rPr>
          <w:rFonts w:ascii="Cambria" w:hAnsi="Cambria"/>
          <w:color w:val="000000"/>
        </w:rPr>
        <w:t xml:space="preserve">I examined </w:t>
      </w:r>
      <w:r>
        <w:rPr>
          <w:rFonts w:ascii="Cambria" w:hAnsi="Cambria"/>
          <w:color w:val="000000"/>
        </w:rPr>
        <w:t>whether or not transfer students were likelier than direct entry students to gain extra credit</w:t>
      </w:r>
      <w:r w:rsidR="0078253E">
        <w:rPr>
          <w:rFonts w:ascii="Cambria" w:hAnsi="Cambria"/>
          <w:color w:val="000000"/>
        </w:rPr>
        <w:t>s</w:t>
      </w:r>
      <w:r>
        <w:rPr>
          <w:rFonts w:ascii="Cambria" w:hAnsi="Cambria"/>
          <w:color w:val="000000"/>
        </w:rPr>
        <w:t xml:space="preserve"> beyond the 20 typically needed for a bachelor’s degree</w:t>
      </w:r>
      <w:r w:rsidR="0078253E">
        <w:rPr>
          <w:rFonts w:ascii="Cambria" w:hAnsi="Cambria"/>
          <w:color w:val="000000"/>
        </w:rPr>
        <w:t>. I also probed w</w:t>
      </w:r>
      <w:r>
        <w:rPr>
          <w:rFonts w:ascii="Cambria" w:hAnsi="Cambria"/>
          <w:color w:val="000000"/>
        </w:rPr>
        <w:t xml:space="preserve">hether attaining </w:t>
      </w:r>
      <w:r w:rsidR="00892419">
        <w:rPr>
          <w:rFonts w:ascii="Cambria" w:hAnsi="Cambria"/>
          <w:color w:val="000000"/>
        </w:rPr>
        <w:t xml:space="preserve">such </w:t>
      </w:r>
      <w:r>
        <w:rPr>
          <w:rFonts w:ascii="Cambria" w:hAnsi="Cambria"/>
          <w:color w:val="000000"/>
        </w:rPr>
        <w:t xml:space="preserve">extra credits had any impact on graduation rates from UofT. Second, </w:t>
      </w:r>
      <w:r w:rsidR="0078253E">
        <w:rPr>
          <w:rFonts w:ascii="Cambria" w:hAnsi="Cambria"/>
          <w:color w:val="000000"/>
        </w:rPr>
        <w:t xml:space="preserve">I explored </w:t>
      </w:r>
      <w:r>
        <w:rPr>
          <w:rFonts w:ascii="Cambria" w:hAnsi="Cambria"/>
          <w:color w:val="000000"/>
        </w:rPr>
        <w:t xml:space="preserve">whether transfer students were likelier than direct entry students to be </w:t>
      </w:r>
      <w:r w:rsidR="00892419">
        <w:rPr>
          <w:rFonts w:ascii="Cambria" w:hAnsi="Cambria"/>
          <w:color w:val="000000"/>
        </w:rPr>
        <w:t xml:space="preserve">placed </w:t>
      </w:r>
      <w:r>
        <w:rPr>
          <w:rFonts w:ascii="Cambria" w:hAnsi="Cambria"/>
          <w:color w:val="000000"/>
        </w:rPr>
        <w:t xml:space="preserve">in the applied stream in high school stream, and if so, whether </w:t>
      </w:r>
      <w:r w:rsidR="0078253E">
        <w:rPr>
          <w:rFonts w:ascii="Cambria" w:hAnsi="Cambria"/>
          <w:color w:val="000000"/>
        </w:rPr>
        <w:t xml:space="preserve">that </w:t>
      </w:r>
      <w:r>
        <w:rPr>
          <w:rFonts w:ascii="Cambria" w:hAnsi="Cambria"/>
          <w:color w:val="000000"/>
        </w:rPr>
        <w:t xml:space="preserve">might account for </w:t>
      </w:r>
      <w:r w:rsidR="0078253E">
        <w:rPr>
          <w:rFonts w:ascii="Cambria" w:hAnsi="Cambria"/>
          <w:color w:val="000000"/>
        </w:rPr>
        <w:t xml:space="preserve">community college transfers’ </w:t>
      </w:r>
      <w:r>
        <w:rPr>
          <w:rFonts w:ascii="Cambria" w:hAnsi="Cambria"/>
          <w:color w:val="000000"/>
        </w:rPr>
        <w:t xml:space="preserve">lower graduation rates.  As detailed below, </w:t>
      </w:r>
      <w:r w:rsidR="0078253E">
        <w:rPr>
          <w:rFonts w:ascii="Cambria" w:hAnsi="Cambria"/>
          <w:color w:val="000000"/>
        </w:rPr>
        <w:t xml:space="preserve">findings from </w:t>
      </w:r>
      <w:r>
        <w:rPr>
          <w:rFonts w:ascii="Cambria" w:hAnsi="Cambria"/>
          <w:color w:val="000000"/>
        </w:rPr>
        <w:t xml:space="preserve">these extra analyses have two implications. First, having to attain extra credits led to only negligible reductions in UofT graduation rates; virtually all students who attained </w:t>
      </w:r>
      <w:r w:rsidR="00892419">
        <w:rPr>
          <w:rFonts w:ascii="Cambria" w:hAnsi="Cambria"/>
          <w:color w:val="000000"/>
        </w:rPr>
        <w:t xml:space="preserve">at least </w:t>
      </w:r>
      <w:r>
        <w:rPr>
          <w:rFonts w:ascii="Cambria" w:hAnsi="Cambria"/>
          <w:color w:val="000000"/>
        </w:rPr>
        <w:t xml:space="preserve">20 total credits graduated from UofT, including transfer students. Thus, any policy aimed at boosting graduation </w:t>
      </w:r>
      <w:r w:rsidR="00D45E07">
        <w:rPr>
          <w:rFonts w:ascii="Cambria" w:hAnsi="Cambria"/>
          <w:color w:val="000000"/>
        </w:rPr>
        <w:t>rat</w:t>
      </w:r>
      <w:r>
        <w:rPr>
          <w:rFonts w:ascii="Cambria" w:hAnsi="Cambria"/>
          <w:color w:val="000000"/>
        </w:rPr>
        <w:t>e</w:t>
      </w:r>
      <w:r w:rsidR="00D45E07">
        <w:rPr>
          <w:rFonts w:ascii="Cambria" w:hAnsi="Cambria"/>
          <w:color w:val="000000"/>
        </w:rPr>
        <w:t xml:space="preserve">s should </w:t>
      </w:r>
      <w:r w:rsidR="0078253E">
        <w:rPr>
          <w:rFonts w:ascii="Cambria" w:hAnsi="Cambria"/>
          <w:color w:val="000000"/>
        </w:rPr>
        <w:t xml:space="preserve">prioritize </w:t>
      </w:r>
      <w:r w:rsidR="00D45E07">
        <w:rPr>
          <w:rFonts w:ascii="Cambria" w:hAnsi="Cambria"/>
          <w:color w:val="000000"/>
        </w:rPr>
        <w:t>helping students reach 20 total credits</w:t>
      </w:r>
      <w:r w:rsidR="0078253E">
        <w:rPr>
          <w:rFonts w:ascii="Cambria" w:hAnsi="Cambria"/>
          <w:color w:val="000000"/>
        </w:rPr>
        <w:t xml:space="preserve"> more than focusing on reducing needs for extra credits</w:t>
      </w:r>
      <w:r w:rsidR="00D45E07">
        <w:rPr>
          <w:rFonts w:ascii="Cambria" w:hAnsi="Cambria"/>
          <w:color w:val="000000"/>
        </w:rPr>
        <w:t>. Second, while transfers from Ontario community colleges were likelier than all other students to have been in applied streams during high school, the strongest predictor of their lesser tendency to graduate from UofT was their lower high school grades. Being slightly more likely to be in applied high school streams was part of a larger pattern in which transfers from Ontario community colleges ha</w:t>
      </w:r>
      <w:r w:rsidR="0078253E">
        <w:rPr>
          <w:rFonts w:ascii="Cambria" w:hAnsi="Cambria"/>
          <w:color w:val="000000"/>
        </w:rPr>
        <w:t xml:space="preserve">d somewhat </w:t>
      </w:r>
      <w:r w:rsidR="00D45E07">
        <w:rPr>
          <w:rFonts w:ascii="Cambria" w:hAnsi="Cambria"/>
          <w:color w:val="000000"/>
        </w:rPr>
        <w:t xml:space="preserve">humbler academic track records </w:t>
      </w:r>
      <w:r w:rsidR="0078253E">
        <w:rPr>
          <w:rFonts w:ascii="Cambria" w:hAnsi="Cambria"/>
          <w:color w:val="000000"/>
        </w:rPr>
        <w:t xml:space="preserve">compared to </w:t>
      </w:r>
      <w:r w:rsidR="00D45E07">
        <w:rPr>
          <w:rFonts w:ascii="Cambria" w:hAnsi="Cambria"/>
          <w:color w:val="000000"/>
        </w:rPr>
        <w:t>their peers, which in turn explained their lower graduation rates from UofT.</w:t>
      </w:r>
      <w:r w:rsidR="00892419">
        <w:rPr>
          <w:rFonts w:ascii="Cambria" w:hAnsi="Cambria"/>
          <w:color w:val="000000"/>
        </w:rPr>
        <w:t xml:space="preserve"> But high school grades w</w:t>
      </w:r>
      <w:r w:rsidR="0078253E">
        <w:rPr>
          <w:rFonts w:ascii="Cambria" w:hAnsi="Cambria"/>
          <w:color w:val="000000"/>
        </w:rPr>
        <w:t xml:space="preserve">as a </w:t>
      </w:r>
      <w:r w:rsidR="00892419">
        <w:rPr>
          <w:rFonts w:ascii="Cambria" w:hAnsi="Cambria"/>
          <w:color w:val="000000"/>
        </w:rPr>
        <w:t xml:space="preserve">stronger predictor </w:t>
      </w:r>
      <w:r w:rsidR="0078253E">
        <w:rPr>
          <w:rFonts w:ascii="Cambria" w:hAnsi="Cambria"/>
          <w:color w:val="000000"/>
        </w:rPr>
        <w:t xml:space="preserve">of university graduation status </w:t>
      </w:r>
      <w:r w:rsidR="00892419">
        <w:rPr>
          <w:rFonts w:ascii="Cambria" w:hAnsi="Cambria"/>
          <w:color w:val="000000"/>
        </w:rPr>
        <w:t xml:space="preserve">than </w:t>
      </w:r>
      <w:r w:rsidR="0078253E">
        <w:rPr>
          <w:rFonts w:ascii="Cambria" w:hAnsi="Cambria"/>
          <w:color w:val="000000"/>
        </w:rPr>
        <w:t xml:space="preserve">was </w:t>
      </w:r>
      <w:r w:rsidR="00892419">
        <w:rPr>
          <w:rFonts w:ascii="Cambria" w:hAnsi="Cambria"/>
          <w:color w:val="000000"/>
        </w:rPr>
        <w:t xml:space="preserve">high school stream.  </w:t>
      </w:r>
      <w:r>
        <w:rPr>
          <w:rFonts w:ascii="Cambria" w:hAnsi="Cambria"/>
          <w:color w:val="000000"/>
        </w:rPr>
        <w:t xml:space="preserve"> </w:t>
      </w:r>
      <w:r w:rsidR="0078253E">
        <w:rPr>
          <w:rFonts w:ascii="Cambria" w:hAnsi="Cambria"/>
          <w:color w:val="000000"/>
        </w:rPr>
        <w:t>These two sets of findings are detailed further below.</w:t>
      </w:r>
    </w:p>
    <w:p w14:paraId="7D67468E" w14:textId="1FC6B966" w:rsidR="006C62AB" w:rsidRDefault="006C62AB" w:rsidP="007F5A97">
      <w:pPr>
        <w:spacing w:after="0"/>
        <w:ind w:left="120"/>
        <w:rPr>
          <w:rFonts w:ascii="Cambria" w:hAnsi="Cambria"/>
          <w:color w:val="000000"/>
        </w:rPr>
      </w:pPr>
    </w:p>
    <w:p w14:paraId="6EACD456" w14:textId="77777777" w:rsidR="004E3514" w:rsidRDefault="00892419" w:rsidP="00892419">
      <w:pPr>
        <w:spacing w:after="0"/>
        <w:ind w:left="120"/>
        <w:rPr>
          <w:rFonts w:ascii="Cambria" w:hAnsi="Cambria"/>
          <w:color w:val="000000"/>
        </w:rPr>
      </w:pPr>
      <w:r>
        <w:rPr>
          <w:rFonts w:ascii="Cambria" w:hAnsi="Cambria"/>
          <w:color w:val="000000"/>
        </w:rPr>
        <w:t xml:space="preserve">1) </w:t>
      </w:r>
      <w:r w:rsidRPr="00892419">
        <w:rPr>
          <w:rFonts w:ascii="Cambria" w:hAnsi="Cambria"/>
          <w:color w:val="000000"/>
        </w:rPr>
        <w:t xml:space="preserve">Did attaining ‘extra’ credits differ by transfer status? Did doing so influence academic outcomes at UofT? </w:t>
      </w:r>
    </w:p>
    <w:p w14:paraId="5CF09397" w14:textId="775AE0B3" w:rsidR="00892419" w:rsidRPr="00892419" w:rsidRDefault="004E3514" w:rsidP="00892419">
      <w:pPr>
        <w:spacing w:after="0"/>
        <w:ind w:left="120"/>
        <w:rPr>
          <w:rFonts w:ascii="Cambria" w:hAnsi="Cambria"/>
          <w:color w:val="000000"/>
        </w:rPr>
      </w:pPr>
      <w:r>
        <w:rPr>
          <w:rFonts w:ascii="Cambria" w:hAnsi="Cambria"/>
          <w:color w:val="000000"/>
        </w:rPr>
        <w:tab/>
      </w:r>
      <w:r w:rsidR="00892419" w:rsidRPr="00892419">
        <w:rPr>
          <w:rFonts w:ascii="Cambria" w:hAnsi="Cambria"/>
          <w:color w:val="000000"/>
        </w:rPr>
        <w:t xml:space="preserve">The term “extra credits” refers to those credits earned beyond the standard 20 credit benchmark typically needed for a bachelor’s degree. To answer these questions, I conducted an additional line of analysis using the dataset’s separate measures for a) the number of credits earned by completing UofT courses, and b) the number of transfer credits earned for courses taken elsewhere. Using them, I created a new ‘total credits’ variable by adding credits earned at UofT to </w:t>
      </w:r>
      <w:r w:rsidR="0078253E">
        <w:rPr>
          <w:rFonts w:ascii="Cambria" w:hAnsi="Cambria"/>
          <w:color w:val="000000"/>
        </w:rPr>
        <w:t xml:space="preserve">the number of </w:t>
      </w:r>
      <w:r w:rsidR="00892419" w:rsidRPr="00892419">
        <w:rPr>
          <w:rFonts w:ascii="Cambria" w:hAnsi="Cambria"/>
          <w:color w:val="000000"/>
        </w:rPr>
        <w:t>transfer credits awarded</w:t>
      </w:r>
      <w:r w:rsidR="0078253E">
        <w:rPr>
          <w:rFonts w:ascii="Cambria" w:hAnsi="Cambria"/>
          <w:color w:val="000000"/>
        </w:rPr>
        <w:t xml:space="preserve">. I </w:t>
      </w:r>
      <w:r w:rsidR="00892419" w:rsidRPr="00892419">
        <w:rPr>
          <w:rFonts w:ascii="Cambria" w:hAnsi="Cambria"/>
          <w:color w:val="000000"/>
        </w:rPr>
        <w:t xml:space="preserve">then proceeded </w:t>
      </w:r>
      <w:r w:rsidR="0078253E">
        <w:rPr>
          <w:rFonts w:ascii="Cambria" w:hAnsi="Cambria"/>
          <w:color w:val="000000"/>
        </w:rPr>
        <w:t>to conduct several analyses.</w:t>
      </w:r>
      <w:r w:rsidR="00892419" w:rsidRPr="00892419">
        <w:rPr>
          <w:rFonts w:ascii="Cambria" w:hAnsi="Cambria"/>
          <w:color w:val="000000"/>
        </w:rPr>
        <w:t xml:space="preserve"> I first examined proportions of undergraduates </w:t>
      </w:r>
      <w:r w:rsidR="0078253E">
        <w:rPr>
          <w:rFonts w:ascii="Cambria" w:hAnsi="Cambria"/>
          <w:color w:val="000000"/>
        </w:rPr>
        <w:t xml:space="preserve">that were </w:t>
      </w:r>
      <w:r w:rsidR="00892419" w:rsidRPr="00892419">
        <w:rPr>
          <w:rFonts w:ascii="Cambria" w:hAnsi="Cambria"/>
          <w:color w:val="000000"/>
        </w:rPr>
        <w:t xml:space="preserve">granted transfer credits versus </w:t>
      </w:r>
      <w:r w:rsidR="0078253E">
        <w:rPr>
          <w:rFonts w:ascii="Cambria" w:hAnsi="Cambria"/>
          <w:color w:val="000000"/>
        </w:rPr>
        <w:t xml:space="preserve">those who attained </w:t>
      </w:r>
      <w:r w:rsidR="00892419" w:rsidRPr="00892419">
        <w:rPr>
          <w:rFonts w:ascii="Cambria" w:hAnsi="Cambria"/>
          <w:color w:val="000000"/>
        </w:rPr>
        <w:t xml:space="preserve">standard UofT credits, </w:t>
      </w:r>
      <w:r w:rsidR="0078253E">
        <w:rPr>
          <w:rFonts w:ascii="Cambria" w:hAnsi="Cambria"/>
          <w:color w:val="000000"/>
        </w:rPr>
        <w:t xml:space="preserve">and </w:t>
      </w:r>
      <w:r w:rsidR="00892419" w:rsidRPr="00892419">
        <w:rPr>
          <w:rFonts w:ascii="Cambria" w:hAnsi="Cambria"/>
          <w:color w:val="000000"/>
        </w:rPr>
        <w:t>then examined total credits earned</w:t>
      </w:r>
      <w:r w:rsidR="0078253E">
        <w:rPr>
          <w:rFonts w:ascii="Cambria" w:hAnsi="Cambria"/>
          <w:color w:val="000000"/>
        </w:rPr>
        <w:t xml:space="preserve">. Those analyses </w:t>
      </w:r>
      <w:r w:rsidR="00892419" w:rsidRPr="00892419">
        <w:rPr>
          <w:rFonts w:ascii="Cambria" w:hAnsi="Cambria"/>
          <w:color w:val="000000"/>
        </w:rPr>
        <w:t>w</w:t>
      </w:r>
      <w:r w:rsidR="0078253E">
        <w:rPr>
          <w:rFonts w:ascii="Cambria" w:hAnsi="Cambria"/>
          <w:color w:val="000000"/>
        </w:rPr>
        <w:t>ere</w:t>
      </w:r>
      <w:r w:rsidR="00892419" w:rsidRPr="00892419">
        <w:rPr>
          <w:rFonts w:ascii="Cambria" w:hAnsi="Cambria"/>
          <w:color w:val="000000"/>
        </w:rPr>
        <w:t xml:space="preserve"> followed by an analysis of students with more than 20 total credits, </w:t>
      </w:r>
      <w:r w:rsidR="0078253E">
        <w:rPr>
          <w:rFonts w:ascii="Cambria" w:hAnsi="Cambria"/>
          <w:color w:val="000000"/>
        </w:rPr>
        <w:t xml:space="preserve">which in turn was followed </w:t>
      </w:r>
      <w:r w:rsidR="00892419" w:rsidRPr="00892419">
        <w:rPr>
          <w:rFonts w:ascii="Cambria" w:hAnsi="Cambria"/>
          <w:color w:val="000000"/>
        </w:rPr>
        <w:t>an examination of links between those variables and a pivotal UofT outcome – graduation.</w:t>
      </w:r>
    </w:p>
    <w:p w14:paraId="00873F5C" w14:textId="77777777" w:rsidR="00892419" w:rsidRDefault="00892419" w:rsidP="00892419">
      <w:pPr>
        <w:spacing w:after="0"/>
        <w:ind w:left="120"/>
        <w:rPr>
          <w:rFonts w:ascii="Cambria" w:hAnsi="Cambria"/>
          <w:color w:val="000000"/>
        </w:rPr>
      </w:pPr>
    </w:p>
    <w:p w14:paraId="145AF93A" w14:textId="59A0952A" w:rsidR="00892419" w:rsidRPr="00892419" w:rsidRDefault="00892419" w:rsidP="00892419">
      <w:pPr>
        <w:spacing w:after="0"/>
        <w:ind w:left="120"/>
        <w:rPr>
          <w:rFonts w:ascii="Cambria" w:hAnsi="Cambria"/>
          <w:color w:val="000000"/>
        </w:rPr>
      </w:pPr>
      <w:r w:rsidRPr="00892419">
        <w:rPr>
          <w:rFonts w:ascii="Cambria" w:hAnsi="Cambria"/>
          <w:color w:val="000000"/>
        </w:rPr>
        <w:t>a) Proportions of Transfer Credits and Standard UofT credits.</w:t>
      </w:r>
    </w:p>
    <w:p w14:paraId="0117D2BB" w14:textId="3DDFA581" w:rsidR="00892419" w:rsidRPr="00892419" w:rsidRDefault="00892419" w:rsidP="00892419">
      <w:pPr>
        <w:spacing w:after="0"/>
        <w:ind w:left="120"/>
        <w:rPr>
          <w:rFonts w:ascii="Cambria" w:hAnsi="Cambria"/>
          <w:color w:val="000000"/>
        </w:rPr>
      </w:pPr>
      <w:r w:rsidRPr="00892419">
        <w:rPr>
          <w:rFonts w:ascii="Cambria" w:hAnsi="Cambria"/>
          <w:color w:val="000000"/>
        </w:rPr>
        <w:tab/>
        <w:t xml:space="preserve">As discussed in the main report, transfer students on average earned fewer regular credits at UofT compared to direct entry students, approximately 14 to 18. </w:t>
      </w:r>
      <w:r w:rsidR="00732DCE">
        <w:rPr>
          <w:rFonts w:ascii="Cambria" w:hAnsi="Cambria"/>
          <w:color w:val="000000"/>
        </w:rPr>
        <w:t xml:space="preserve">Being </w:t>
      </w:r>
      <w:r w:rsidRPr="00892419">
        <w:rPr>
          <w:rFonts w:ascii="Cambria" w:hAnsi="Cambria"/>
          <w:color w:val="000000"/>
        </w:rPr>
        <w:t>grant</w:t>
      </w:r>
      <w:r w:rsidR="00732DCE">
        <w:rPr>
          <w:rFonts w:ascii="Cambria" w:hAnsi="Cambria"/>
          <w:color w:val="000000"/>
        </w:rPr>
        <w:t xml:space="preserve">ed </w:t>
      </w:r>
      <w:r w:rsidRPr="00892419">
        <w:rPr>
          <w:rFonts w:ascii="Cambria" w:hAnsi="Cambria"/>
          <w:color w:val="000000"/>
        </w:rPr>
        <w:t>transfer credits help</w:t>
      </w:r>
      <w:r w:rsidR="0078253E">
        <w:rPr>
          <w:rFonts w:ascii="Cambria" w:hAnsi="Cambria"/>
          <w:color w:val="000000"/>
        </w:rPr>
        <w:t>s</w:t>
      </w:r>
      <w:r w:rsidRPr="00892419">
        <w:rPr>
          <w:rFonts w:ascii="Cambria" w:hAnsi="Cambria"/>
          <w:color w:val="000000"/>
        </w:rPr>
        <w:t xml:space="preserve"> transfer students </w:t>
      </w:r>
      <w:r w:rsidR="00732DCE">
        <w:rPr>
          <w:rFonts w:ascii="Cambria" w:hAnsi="Cambria"/>
          <w:color w:val="000000"/>
        </w:rPr>
        <w:t xml:space="preserve">avoid </w:t>
      </w:r>
      <w:r w:rsidRPr="00892419">
        <w:rPr>
          <w:rFonts w:ascii="Cambria" w:hAnsi="Cambria"/>
          <w:color w:val="000000"/>
        </w:rPr>
        <w:t>having to repeat courses</w:t>
      </w:r>
      <w:r w:rsidR="00732DCE">
        <w:rPr>
          <w:rFonts w:ascii="Cambria" w:hAnsi="Cambria"/>
          <w:color w:val="000000"/>
        </w:rPr>
        <w:t xml:space="preserve">, which largely accounts for their fewer </w:t>
      </w:r>
      <w:r w:rsidR="00732DCE">
        <w:rPr>
          <w:rFonts w:ascii="Cambria" w:hAnsi="Cambria"/>
          <w:color w:val="000000"/>
        </w:rPr>
        <w:lastRenderedPageBreak/>
        <w:t>UofT credits</w:t>
      </w:r>
      <w:r w:rsidRPr="00892419">
        <w:rPr>
          <w:rFonts w:ascii="Cambria" w:hAnsi="Cambria"/>
          <w:color w:val="000000"/>
        </w:rPr>
        <w:t>. Almost 15% of undergraduates in the TDSB-UofT pathway were granted some transfer credits.  Among transfer students, 84% received some transfer credits. However, only 9% of all undergraduates that were granted transfer credits were transfers from other postsecondary institutions. The vast majority of students granted transfer credits were direct entry students who received credits for taking courses in programs like Advanced Placement (AP) and International Baccalaureate (IB).</w:t>
      </w:r>
    </w:p>
    <w:p w14:paraId="23B0D159" w14:textId="77777777" w:rsidR="00892419" w:rsidRDefault="00892419" w:rsidP="00892419">
      <w:pPr>
        <w:spacing w:after="0"/>
        <w:ind w:left="120"/>
        <w:rPr>
          <w:rFonts w:ascii="Cambria" w:hAnsi="Cambria"/>
          <w:color w:val="000000"/>
        </w:rPr>
      </w:pPr>
    </w:p>
    <w:p w14:paraId="09FC0D4E" w14:textId="5F964A64" w:rsidR="00892419" w:rsidRPr="00892419" w:rsidRDefault="00892419" w:rsidP="00892419">
      <w:pPr>
        <w:spacing w:after="0"/>
        <w:ind w:left="120"/>
        <w:rPr>
          <w:rFonts w:ascii="Cambria" w:hAnsi="Cambria"/>
          <w:color w:val="000000"/>
        </w:rPr>
      </w:pPr>
      <w:r w:rsidRPr="00892419">
        <w:rPr>
          <w:rFonts w:ascii="Cambria" w:hAnsi="Cambria"/>
          <w:color w:val="000000"/>
        </w:rPr>
        <w:t xml:space="preserve">b) Total Credits Earned: </w:t>
      </w:r>
    </w:p>
    <w:p w14:paraId="259713C0" w14:textId="7E46BACC" w:rsidR="00892419" w:rsidRPr="00892419" w:rsidRDefault="00892419" w:rsidP="00892419">
      <w:pPr>
        <w:spacing w:after="0"/>
        <w:ind w:left="120"/>
        <w:rPr>
          <w:rFonts w:ascii="Cambria" w:hAnsi="Cambria"/>
          <w:color w:val="000000"/>
        </w:rPr>
      </w:pPr>
      <w:r w:rsidRPr="00892419">
        <w:rPr>
          <w:rFonts w:ascii="Cambria" w:hAnsi="Cambria"/>
          <w:color w:val="000000"/>
        </w:rPr>
        <w:tab/>
      </w:r>
      <w:r w:rsidR="007C6836">
        <w:rPr>
          <w:rFonts w:ascii="Cambria" w:hAnsi="Cambria"/>
          <w:color w:val="000000"/>
        </w:rPr>
        <w:t>C</w:t>
      </w:r>
      <w:r w:rsidR="007C6836" w:rsidRPr="00892419">
        <w:rPr>
          <w:rFonts w:ascii="Cambria" w:hAnsi="Cambria"/>
          <w:color w:val="000000"/>
        </w:rPr>
        <w:t>ombining transfer credits and those earned from UofT courses</w:t>
      </w:r>
      <w:r w:rsidR="007C6836">
        <w:rPr>
          <w:rFonts w:ascii="Cambria" w:hAnsi="Cambria"/>
          <w:color w:val="000000"/>
        </w:rPr>
        <w:t>,</w:t>
      </w:r>
      <w:r w:rsidR="007C6836" w:rsidRPr="00892419">
        <w:rPr>
          <w:rFonts w:ascii="Cambria" w:hAnsi="Cambria"/>
          <w:color w:val="000000"/>
        </w:rPr>
        <w:t xml:space="preserve"> </w:t>
      </w:r>
      <w:r w:rsidR="007C6836">
        <w:rPr>
          <w:rFonts w:ascii="Cambria" w:hAnsi="Cambria"/>
          <w:color w:val="000000"/>
        </w:rPr>
        <w:t>t</w:t>
      </w:r>
      <w:r w:rsidRPr="00892419">
        <w:rPr>
          <w:rFonts w:ascii="Cambria" w:hAnsi="Cambria"/>
          <w:color w:val="000000"/>
        </w:rPr>
        <w:t>he median student earned 20 total credits</w:t>
      </w:r>
      <w:r w:rsidR="007C6836">
        <w:rPr>
          <w:rFonts w:ascii="Cambria" w:hAnsi="Cambria"/>
          <w:color w:val="000000"/>
        </w:rPr>
        <w:t>, among both d</w:t>
      </w:r>
      <w:r w:rsidRPr="00892419">
        <w:rPr>
          <w:rFonts w:ascii="Cambria" w:hAnsi="Cambria"/>
          <w:color w:val="000000"/>
        </w:rPr>
        <w:t>irect entry and transfer students. Transfers had slightly lower mean total credits than direct entry students because a few more transfer</w:t>
      </w:r>
      <w:r w:rsidR="007C6836">
        <w:rPr>
          <w:rFonts w:ascii="Cambria" w:hAnsi="Cambria"/>
          <w:color w:val="000000"/>
        </w:rPr>
        <w:t xml:space="preserve"> </w:t>
      </w:r>
      <w:r w:rsidRPr="00892419">
        <w:rPr>
          <w:rFonts w:ascii="Cambria" w:hAnsi="Cambria"/>
          <w:color w:val="000000"/>
        </w:rPr>
        <w:t>s</w:t>
      </w:r>
      <w:r w:rsidR="007C6836">
        <w:rPr>
          <w:rFonts w:ascii="Cambria" w:hAnsi="Cambria"/>
          <w:color w:val="000000"/>
        </w:rPr>
        <w:t>tudents</w:t>
      </w:r>
      <w:r w:rsidRPr="00892419">
        <w:rPr>
          <w:rFonts w:ascii="Cambria" w:hAnsi="Cambria"/>
          <w:color w:val="000000"/>
        </w:rPr>
        <w:t xml:space="preserve"> earned 15 or fewer credits.  That mean difference in total credits earned between all transfer and direct entry students was not statistically significant, however.  But transfers from Ontario Community Colleges did earn </w:t>
      </w:r>
      <w:r w:rsidR="007C6836" w:rsidRPr="00892419">
        <w:rPr>
          <w:rFonts w:ascii="Cambria" w:hAnsi="Cambria"/>
          <w:color w:val="000000"/>
        </w:rPr>
        <w:t xml:space="preserve">2.5 fewer </w:t>
      </w:r>
      <w:r w:rsidRPr="00892419">
        <w:rPr>
          <w:rFonts w:ascii="Cambria" w:hAnsi="Cambria"/>
          <w:color w:val="000000"/>
        </w:rPr>
        <w:t>total credits than other students</w:t>
      </w:r>
      <w:r w:rsidR="007C6836">
        <w:rPr>
          <w:rFonts w:ascii="Cambria" w:hAnsi="Cambria"/>
          <w:color w:val="000000"/>
        </w:rPr>
        <w:t xml:space="preserve">, a difference that was statistically significant </w:t>
      </w:r>
      <w:r w:rsidRPr="00892419">
        <w:rPr>
          <w:rFonts w:ascii="Cambria" w:hAnsi="Cambria"/>
          <w:color w:val="000000"/>
        </w:rPr>
        <w:t>(p&lt;.001). Indeed, 42% of transfers from Ontario community colleges earned fewer than 20 total credits; 27% earned exactly 20 credits, and the remaining 31% earned more than 20 credits.</w:t>
      </w:r>
    </w:p>
    <w:p w14:paraId="50C4AD1C" w14:textId="77777777" w:rsidR="00892419" w:rsidRDefault="00892419" w:rsidP="00892419">
      <w:pPr>
        <w:spacing w:after="0"/>
        <w:ind w:left="120"/>
        <w:rPr>
          <w:rFonts w:ascii="Cambria" w:hAnsi="Cambria"/>
          <w:color w:val="000000"/>
        </w:rPr>
      </w:pPr>
    </w:p>
    <w:p w14:paraId="2FDD6463" w14:textId="515BFB4E" w:rsidR="00892419" w:rsidRPr="00892419" w:rsidRDefault="00892419" w:rsidP="00892419">
      <w:pPr>
        <w:spacing w:after="0"/>
        <w:ind w:left="120"/>
        <w:rPr>
          <w:rFonts w:ascii="Cambria" w:hAnsi="Cambria"/>
          <w:color w:val="000000"/>
        </w:rPr>
      </w:pPr>
      <w:r w:rsidRPr="00892419">
        <w:rPr>
          <w:rFonts w:ascii="Cambria" w:hAnsi="Cambria"/>
          <w:color w:val="000000"/>
        </w:rPr>
        <w:t>c) Earning Extra Credits at UofT:</w:t>
      </w:r>
      <w:r w:rsidRPr="00892419">
        <w:rPr>
          <w:rFonts w:ascii="Cambria" w:hAnsi="Cambria"/>
          <w:color w:val="000000"/>
        </w:rPr>
        <w:tab/>
      </w:r>
    </w:p>
    <w:p w14:paraId="5B60EB90" w14:textId="77777777" w:rsidR="00892419" w:rsidRPr="00892419" w:rsidRDefault="00892419" w:rsidP="00892419">
      <w:pPr>
        <w:spacing w:after="0"/>
        <w:ind w:left="120"/>
        <w:rPr>
          <w:rFonts w:ascii="Cambria" w:hAnsi="Cambria"/>
          <w:color w:val="000000"/>
        </w:rPr>
      </w:pPr>
      <w:r w:rsidRPr="00892419">
        <w:rPr>
          <w:rFonts w:ascii="Cambria" w:hAnsi="Cambria"/>
          <w:color w:val="000000"/>
        </w:rPr>
        <w:tab/>
        <w:t>About 45% of all students in the TDSB-UofT pathway earned more than 20 total credits. Most of those students earned only slightly more than 20 credits; only 25% earned 21.5 credits or more. Among the 2,682 students who did receive transfer credits, 2,215 (83%) eventually earned 20 or more total credits. Among those same 2,682 students, 467 (17%) did not attain 20 credits in total.  In general, students who attained 20+ total credits received larger numbers of transfer credits. But transfer students were not more likely to earn extra total credits compared to their direct entry peers.</w:t>
      </w:r>
    </w:p>
    <w:p w14:paraId="00692508" w14:textId="77777777" w:rsidR="00892419" w:rsidRDefault="00892419" w:rsidP="00892419">
      <w:pPr>
        <w:spacing w:after="0"/>
        <w:ind w:left="120"/>
        <w:rPr>
          <w:rFonts w:ascii="Cambria" w:hAnsi="Cambria"/>
          <w:color w:val="000000"/>
        </w:rPr>
      </w:pPr>
    </w:p>
    <w:p w14:paraId="3039E159" w14:textId="43C890D5" w:rsidR="00892419" w:rsidRPr="00892419" w:rsidRDefault="00892419" w:rsidP="00892419">
      <w:pPr>
        <w:spacing w:after="0"/>
        <w:ind w:left="120"/>
        <w:rPr>
          <w:rFonts w:ascii="Cambria" w:hAnsi="Cambria"/>
          <w:color w:val="000000"/>
        </w:rPr>
      </w:pPr>
      <w:r>
        <w:rPr>
          <w:rFonts w:ascii="Cambria" w:hAnsi="Cambria"/>
          <w:color w:val="000000"/>
        </w:rPr>
        <w:t>d</w:t>
      </w:r>
      <w:r w:rsidRPr="00892419">
        <w:rPr>
          <w:rFonts w:ascii="Cambria" w:hAnsi="Cambria"/>
          <w:color w:val="000000"/>
        </w:rPr>
        <w:t>) Extra Credits and UofT Outcomes:</w:t>
      </w:r>
      <w:r w:rsidRPr="00892419">
        <w:rPr>
          <w:rFonts w:ascii="Cambria" w:hAnsi="Cambria"/>
          <w:color w:val="000000"/>
        </w:rPr>
        <w:tab/>
        <w:t xml:space="preserve"> </w:t>
      </w:r>
    </w:p>
    <w:p w14:paraId="3786D006" w14:textId="77777777" w:rsidR="00892419" w:rsidRPr="00892419" w:rsidRDefault="00892419" w:rsidP="00892419">
      <w:pPr>
        <w:spacing w:after="0"/>
        <w:ind w:left="120"/>
        <w:rPr>
          <w:rFonts w:ascii="Cambria" w:hAnsi="Cambria"/>
          <w:color w:val="000000"/>
        </w:rPr>
      </w:pPr>
      <w:r w:rsidRPr="00892419">
        <w:rPr>
          <w:rFonts w:ascii="Cambria" w:hAnsi="Cambria"/>
          <w:color w:val="000000"/>
        </w:rPr>
        <w:tab/>
        <w:t>Earning extra credits did not seem to harm graduation rates.  Almost all students who earned 20 or more total credits eventually graduated from UofT. Approximately 99% of students who earned exactly 20 total credits graduated from UofT; the corresponding figure for those who earned more than 20 was 98.3%.  Among transfer students, the graduation rates for students who earned exactly 20 credits versus those with more than 20 credits were 97.4% and 95.3%, respectively.  Thus, a case could be made that having to earn extra credits slightly lowered transfer students’ chances of graduation, though it did so by only a negligible amount (note that among direct entry students those rates were 99.5% and 98.4%, respectively).</w:t>
      </w:r>
    </w:p>
    <w:p w14:paraId="49E754F7" w14:textId="71EFB825" w:rsidR="00892419" w:rsidRPr="00892419" w:rsidRDefault="00892419" w:rsidP="00892419">
      <w:pPr>
        <w:spacing w:after="0"/>
        <w:ind w:left="120"/>
        <w:rPr>
          <w:rFonts w:ascii="Cambria" w:hAnsi="Cambria"/>
          <w:color w:val="000000"/>
        </w:rPr>
      </w:pPr>
      <w:r w:rsidRPr="00892419">
        <w:rPr>
          <w:rFonts w:ascii="Cambria" w:hAnsi="Cambria"/>
          <w:color w:val="000000"/>
        </w:rPr>
        <w:tab/>
        <w:t>Graduation rates among Ontario community college transfers for those who earned exactly 20 credits, and those who earned more, were 95.2% and 87.5%, respectively. Again</w:t>
      </w:r>
      <w:r w:rsidR="004E3514">
        <w:rPr>
          <w:rFonts w:ascii="Cambria" w:hAnsi="Cambria"/>
          <w:color w:val="000000"/>
        </w:rPr>
        <w:t>,</w:t>
      </w:r>
      <w:r w:rsidRPr="00892419">
        <w:rPr>
          <w:rFonts w:ascii="Cambria" w:hAnsi="Cambria"/>
          <w:color w:val="000000"/>
        </w:rPr>
        <w:t xml:space="preserve"> a case could be made that earning extra credits lowered chances of graduation among college transfers, but it did so by a negligible amount, less than 5%.  Overall, the data suggest overwhelmingly that any strategy for boosting university graduation rates </w:t>
      </w:r>
      <w:r w:rsidR="004E3514">
        <w:rPr>
          <w:rFonts w:ascii="Cambria" w:hAnsi="Cambria"/>
          <w:color w:val="000000"/>
        </w:rPr>
        <w:t xml:space="preserve">should focus on </w:t>
      </w:r>
      <w:r w:rsidRPr="00892419">
        <w:rPr>
          <w:rFonts w:ascii="Cambria" w:hAnsi="Cambria"/>
          <w:color w:val="000000"/>
        </w:rPr>
        <w:t xml:space="preserve">ways to help students earn 20 </w:t>
      </w:r>
      <w:r w:rsidRPr="00892419">
        <w:rPr>
          <w:rFonts w:ascii="Cambria" w:hAnsi="Cambria"/>
          <w:color w:val="000000"/>
        </w:rPr>
        <w:lastRenderedPageBreak/>
        <w:t xml:space="preserve">credits in total. </w:t>
      </w:r>
      <w:r w:rsidR="004E3514">
        <w:rPr>
          <w:rFonts w:ascii="Cambria" w:hAnsi="Cambria"/>
          <w:color w:val="000000"/>
        </w:rPr>
        <w:t>L</w:t>
      </w:r>
      <w:r w:rsidRPr="00892419">
        <w:rPr>
          <w:rFonts w:ascii="Cambria" w:hAnsi="Cambria"/>
          <w:color w:val="000000"/>
        </w:rPr>
        <w:t xml:space="preserve">ess than 0.3% of students who </w:t>
      </w:r>
      <w:r w:rsidR="004E3514">
        <w:rPr>
          <w:rFonts w:ascii="Cambria" w:hAnsi="Cambria"/>
          <w:color w:val="000000"/>
        </w:rPr>
        <w:t xml:space="preserve">failed to </w:t>
      </w:r>
      <w:r w:rsidRPr="00892419">
        <w:rPr>
          <w:rFonts w:ascii="Cambria" w:hAnsi="Cambria"/>
          <w:color w:val="000000"/>
        </w:rPr>
        <w:t>earn</w:t>
      </w:r>
      <w:r w:rsidR="004E3514">
        <w:rPr>
          <w:rFonts w:ascii="Cambria" w:hAnsi="Cambria"/>
          <w:color w:val="000000"/>
        </w:rPr>
        <w:t xml:space="preserve"> </w:t>
      </w:r>
      <w:r w:rsidRPr="00892419">
        <w:rPr>
          <w:rFonts w:ascii="Cambria" w:hAnsi="Cambria"/>
          <w:color w:val="000000"/>
        </w:rPr>
        <w:t>20 total credits graduated from UofT</w:t>
      </w:r>
      <w:r w:rsidR="004E3514">
        <w:rPr>
          <w:rFonts w:ascii="Cambria" w:hAnsi="Cambria"/>
          <w:color w:val="000000"/>
        </w:rPr>
        <w:t xml:space="preserve">; </w:t>
      </w:r>
      <w:r w:rsidRPr="00892419">
        <w:rPr>
          <w:rFonts w:ascii="Cambria" w:hAnsi="Cambria"/>
          <w:color w:val="000000"/>
        </w:rPr>
        <w:t>none of the 75 transfer students who earned less than 20 total credits managed to graduate.</w:t>
      </w:r>
    </w:p>
    <w:p w14:paraId="0DD1D4C7" w14:textId="77777777" w:rsidR="00892419" w:rsidRDefault="00892419" w:rsidP="00892419">
      <w:pPr>
        <w:spacing w:after="0"/>
        <w:ind w:left="120"/>
        <w:rPr>
          <w:rFonts w:ascii="Cambria" w:hAnsi="Cambria"/>
          <w:color w:val="000000"/>
        </w:rPr>
      </w:pPr>
    </w:p>
    <w:p w14:paraId="4AB358F4" w14:textId="14786645" w:rsidR="00892419" w:rsidRPr="00892419" w:rsidRDefault="00892419" w:rsidP="00892419">
      <w:pPr>
        <w:spacing w:after="0"/>
        <w:ind w:left="120"/>
        <w:rPr>
          <w:rFonts w:ascii="Cambria" w:hAnsi="Cambria"/>
          <w:color w:val="000000"/>
        </w:rPr>
      </w:pPr>
      <w:r w:rsidRPr="00892419">
        <w:rPr>
          <w:rFonts w:ascii="Cambria" w:hAnsi="Cambria"/>
          <w:color w:val="000000"/>
        </w:rPr>
        <w:t>2) The Impact of High School Stream:</w:t>
      </w:r>
    </w:p>
    <w:p w14:paraId="5D685E95" w14:textId="2D0C121C" w:rsidR="00892419" w:rsidRPr="00892419" w:rsidRDefault="00892419" w:rsidP="00892419">
      <w:pPr>
        <w:spacing w:after="0"/>
        <w:ind w:left="120"/>
        <w:rPr>
          <w:rFonts w:ascii="Cambria" w:hAnsi="Cambria"/>
          <w:color w:val="000000"/>
        </w:rPr>
      </w:pPr>
      <w:r w:rsidRPr="00892419">
        <w:rPr>
          <w:rFonts w:ascii="Cambria" w:hAnsi="Cambria"/>
          <w:color w:val="000000"/>
        </w:rPr>
        <w:tab/>
        <w:t xml:space="preserve">The TDSB-UofT data set identifies </w:t>
      </w:r>
      <w:r w:rsidR="002F18F3">
        <w:rPr>
          <w:rFonts w:ascii="Cambria" w:hAnsi="Cambria"/>
          <w:color w:val="000000"/>
        </w:rPr>
        <w:t xml:space="preserve">which </w:t>
      </w:r>
      <w:r w:rsidRPr="00892419">
        <w:rPr>
          <w:rFonts w:ascii="Cambria" w:hAnsi="Cambria"/>
          <w:color w:val="000000"/>
        </w:rPr>
        <w:t>stream students were in during grade 9, though it does not identify their stream in later grades.  Transfer students were significantly less likely to be in the academic stream in grade 9</w:t>
      </w:r>
      <w:r w:rsidR="002F18F3">
        <w:rPr>
          <w:rFonts w:ascii="Cambria" w:hAnsi="Cambria"/>
          <w:color w:val="000000"/>
        </w:rPr>
        <w:t xml:space="preserve"> than were </w:t>
      </w:r>
      <w:r w:rsidR="002F18F3" w:rsidRPr="00892419">
        <w:rPr>
          <w:rFonts w:ascii="Cambria" w:hAnsi="Cambria"/>
          <w:color w:val="000000"/>
        </w:rPr>
        <w:t>direct entry students</w:t>
      </w:r>
      <w:r w:rsidRPr="00892419">
        <w:rPr>
          <w:rFonts w:ascii="Cambria" w:hAnsi="Cambria"/>
          <w:color w:val="000000"/>
        </w:rPr>
        <w:t xml:space="preserve">: 88% </w:t>
      </w:r>
      <w:r w:rsidR="002F18F3">
        <w:rPr>
          <w:rFonts w:ascii="Cambria" w:hAnsi="Cambria"/>
          <w:color w:val="000000"/>
        </w:rPr>
        <w:t xml:space="preserve">versus </w:t>
      </w:r>
      <w:r w:rsidRPr="00892419">
        <w:rPr>
          <w:rFonts w:ascii="Cambria" w:hAnsi="Cambria"/>
          <w:color w:val="000000"/>
        </w:rPr>
        <w:t xml:space="preserve">93% (p&lt;.001).  However, that difference was mainly generated by transfers from Ontario community colleges and international universities.  About 95% of transfers from Canadian universities were in academic streams in early high school, compared to only 80% of transfers from Ontario community colleges (p&lt;.000) and only 63% from international universities (p&lt;.000).  These differences reinforce a key pattern: transfers from community colleges had humbler academic records </w:t>
      </w:r>
      <w:r w:rsidR="002F18F3">
        <w:rPr>
          <w:rFonts w:ascii="Cambria" w:hAnsi="Cambria"/>
          <w:color w:val="000000"/>
        </w:rPr>
        <w:t>from</w:t>
      </w:r>
      <w:r w:rsidRPr="00892419">
        <w:rPr>
          <w:rFonts w:ascii="Cambria" w:hAnsi="Cambria"/>
          <w:color w:val="000000"/>
        </w:rPr>
        <w:t xml:space="preserve"> high school compared to direct entry students and transfers from universities</w:t>
      </w:r>
      <w:r w:rsidR="002F18F3">
        <w:rPr>
          <w:rFonts w:ascii="Cambria" w:hAnsi="Cambria"/>
          <w:color w:val="000000"/>
        </w:rPr>
        <w:t xml:space="preserve">; that </w:t>
      </w:r>
      <w:r w:rsidRPr="00892419">
        <w:rPr>
          <w:rFonts w:ascii="Cambria" w:hAnsi="Cambria"/>
          <w:color w:val="000000"/>
        </w:rPr>
        <w:t xml:space="preserve">in turn explains their worse outcomes at UofT.  Logistic regression models show that the lesser tendency of college transfers to graduate from UofT was partly mediated by their high school stream, but </w:t>
      </w:r>
      <w:r w:rsidR="002F18F3">
        <w:rPr>
          <w:rFonts w:ascii="Cambria" w:hAnsi="Cambria"/>
          <w:color w:val="000000"/>
        </w:rPr>
        <w:t xml:space="preserve">also </w:t>
      </w:r>
      <w:r w:rsidRPr="00892419">
        <w:rPr>
          <w:rFonts w:ascii="Cambria" w:hAnsi="Cambria"/>
          <w:color w:val="000000"/>
        </w:rPr>
        <w:t xml:space="preserve">that their lower graduation rates were </w:t>
      </w:r>
      <w:r w:rsidR="002F18F3">
        <w:rPr>
          <w:rFonts w:ascii="Cambria" w:hAnsi="Cambria"/>
          <w:color w:val="000000"/>
        </w:rPr>
        <w:t xml:space="preserve">otherwise </w:t>
      </w:r>
      <w:r w:rsidRPr="00892419">
        <w:rPr>
          <w:rFonts w:ascii="Cambria" w:hAnsi="Cambria"/>
          <w:color w:val="000000"/>
        </w:rPr>
        <w:t>largely explained by high school grades.</w:t>
      </w:r>
    </w:p>
    <w:p w14:paraId="25C337C0" w14:textId="2FA96BBC" w:rsidR="00892419" w:rsidRDefault="00892419" w:rsidP="00892419">
      <w:pPr>
        <w:spacing w:after="0"/>
        <w:ind w:left="120"/>
        <w:rPr>
          <w:rFonts w:ascii="Cambria" w:hAnsi="Cambria"/>
          <w:color w:val="000000"/>
        </w:rPr>
      </w:pPr>
      <w:r w:rsidRPr="00892419">
        <w:rPr>
          <w:rFonts w:ascii="Cambria" w:hAnsi="Cambria"/>
          <w:color w:val="000000"/>
        </w:rPr>
        <w:tab/>
        <w:t xml:space="preserve">Thus, transfers from community colleges were not only less likely to be in the academic stream in grade 9, </w:t>
      </w:r>
      <w:r w:rsidR="002F18F3">
        <w:rPr>
          <w:rFonts w:ascii="Cambria" w:hAnsi="Cambria"/>
          <w:color w:val="000000"/>
        </w:rPr>
        <w:t xml:space="preserve">they </w:t>
      </w:r>
      <w:r w:rsidRPr="00892419">
        <w:rPr>
          <w:rFonts w:ascii="Cambria" w:hAnsi="Cambria"/>
          <w:color w:val="000000"/>
        </w:rPr>
        <w:t>also had lower average high school grades. Th</w:t>
      </w:r>
      <w:r w:rsidR="002F18F3">
        <w:rPr>
          <w:rFonts w:ascii="Cambria" w:hAnsi="Cambria"/>
          <w:color w:val="000000"/>
        </w:rPr>
        <w:t xml:space="preserve">eir stream placements </w:t>
      </w:r>
      <w:r w:rsidRPr="00892419">
        <w:rPr>
          <w:rFonts w:ascii="Cambria" w:hAnsi="Cambria"/>
          <w:color w:val="000000"/>
        </w:rPr>
        <w:t xml:space="preserve">came with other academic problems such as a greater likelihood </w:t>
      </w:r>
      <w:r w:rsidR="002F18F3">
        <w:rPr>
          <w:rFonts w:ascii="Cambria" w:hAnsi="Cambria"/>
          <w:color w:val="000000"/>
        </w:rPr>
        <w:t xml:space="preserve">to </w:t>
      </w:r>
      <w:r w:rsidRPr="00892419">
        <w:rPr>
          <w:rFonts w:ascii="Cambria" w:hAnsi="Cambria"/>
          <w:color w:val="000000"/>
        </w:rPr>
        <w:t>hav</w:t>
      </w:r>
      <w:r w:rsidR="002F18F3">
        <w:rPr>
          <w:rFonts w:ascii="Cambria" w:hAnsi="Cambria"/>
          <w:color w:val="000000"/>
        </w:rPr>
        <w:t>e</w:t>
      </w:r>
      <w:r w:rsidRPr="00892419">
        <w:rPr>
          <w:rFonts w:ascii="Cambria" w:hAnsi="Cambria"/>
          <w:color w:val="000000"/>
        </w:rPr>
        <w:t xml:space="preserve"> dropped out of high school. Nevertheless, these patterns should be viewed within a larger context: most transfers from community colleges had solid academic records in high school. But because a disproportionately large number of college transfers experienced some academic difficulties during high school, many of them continued to </w:t>
      </w:r>
      <w:r w:rsidR="002F18F3">
        <w:rPr>
          <w:rFonts w:ascii="Cambria" w:hAnsi="Cambria"/>
          <w:color w:val="000000"/>
        </w:rPr>
        <w:t xml:space="preserve">face </w:t>
      </w:r>
      <w:r w:rsidRPr="00892419">
        <w:rPr>
          <w:rFonts w:ascii="Cambria" w:hAnsi="Cambria"/>
          <w:color w:val="000000"/>
        </w:rPr>
        <w:t xml:space="preserve">challenges after transferring to UofT.  </w:t>
      </w:r>
    </w:p>
    <w:p w14:paraId="7B5D2A22" w14:textId="77777777" w:rsidR="006C62AB" w:rsidRDefault="006C62AB" w:rsidP="007F5A97">
      <w:pPr>
        <w:spacing w:after="0"/>
        <w:ind w:left="120"/>
        <w:rPr>
          <w:rFonts w:ascii="Cambria" w:hAnsi="Cambria"/>
          <w:color w:val="000000"/>
        </w:rPr>
      </w:pPr>
    </w:p>
    <w:p w14:paraId="3F7884A1" w14:textId="0D84E903" w:rsidR="00C37563" w:rsidRDefault="00C37563" w:rsidP="007F5A97">
      <w:pPr>
        <w:spacing w:after="0"/>
        <w:ind w:left="120"/>
        <w:rPr>
          <w:rFonts w:ascii="Cambria" w:hAnsi="Cambria"/>
          <w:color w:val="000000"/>
        </w:rPr>
      </w:pPr>
    </w:p>
    <w:p w14:paraId="3EEBC75F" w14:textId="77777777" w:rsidR="00C37563" w:rsidRDefault="00C37563" w:rsidP="007F5A97">
      <w:pPr>
        <w:spacing w:after="0"/>
        <w:ind w:left="120"/>
        <w:rPr>
          <w:rFonts w:ascii="Cambria" w:hAnsi="Cambria"/>
          <w:color w:val="000000"/>
        </w:rPr>
      </w:pPr>
    </w:p>
    <w:p w14:paraId="372602EA" w14:textId="19F963A2" w:rsidR="00F14699" w:rsidRPr="00A427A4" w:rsidRDefault="007354B4" w:rsidP="00A427A4">
      <w:pPr>
        <w:spacing w:after="0"/>
        <w:ind w:left="120"/>
        <w:jc w:val="center"/>
        <w:rPr>
          <w:b/>
        </w:rPr>
      </w:pPr>
      <w:r w:rsidRPr="00A427A4">
        <w:rPr>
          <w:b/>
        </w:rPr>
        <w:t>ENDNOTES:</w:t>
      </w:r>
    </w:p>
    <w:sectPr w:rsidR="00F14699" w:rsidRPr="00A427A4" w:rsidSect="00CA6E91">
      <w:headerReference w:type="default" r:id="rId17"/>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DD29" w14:textId="77777777" w:rsidR="00FA7379" w:rsidRDefault="00FA7379" w:rsidP="00233D97">
      <w:pPr>
        <w:spacing w:after="0" w:line="240" w:lineRule="auto"/>
      </w:pPr>
      <w:r>
        <w:separator/>
      </w:r>
    </w:p>
  </w:endnote>
  <w:endnote w:type="continuationSeparator" w:id="0">
    <w:p w14:paraId="120FD045" w14:textId="77777777" w:rsidR="00FA7379" w:rsidRDefault="00FA7379" w:rsidP="00233D97">
      <w:pPr>
        <w:spacing w:after="0" w:line="240" w:lineRule="auto"/>
      </w:pPr>
      <w:r>
        <w:continuationSeparator/>
      </w:r>
    </w:p>
  </w:endnote>
  <w:endnote w:id="1">
    <w:p w14:paraId="16D1FD88" w14:textId="0847837C" w:rsidR="00C37563" w:rsidRDefault="00C37563" w:rsidP="00341B70">
      <w:pPr>
        <w:pStyle w:val="EndnoteText"/>
      </w:pPr>
      <w:r>
        <w:rPr>
          <w:rStyle w:val="EndnoteReference"/>
        </w:rPr>
        <w:endnoteRef/>
      </w:r>
      <w:r>
        <w:t xml:space="preserve"> Rates of additional graduations tend to fall after six years from entering university.  Data from British Columbia show long run cumulative transition rates for the 2002-2003 grade 12 cohort (one year older than our oldest cohort). That cohort had an immediate entry rate of 51%, a five-year cumulative entry rate of 72%, a ten-year cumulative rate of 78%, and a 15-year rate of 79.5% (Heslop, 2019).  Thus, over fifteen years many more students from that cohort did eventually transition into higher education, but the rate of new transitions slowed dramatically after five years.  We would expect a similar pattern for delayed entry into UofT and delayed graduation from UofT: extending the time window might capture more cumulative-entry and cumulative-graduation students, but with declining returns over time. Some of those additional students captured in cumulative rates would be transfers.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2122" w14:textId="77777777" w:rsidR="00FA7379" w:rsidRDefault="00FA7379" w:rsidP="00233D97">
      <w:pPr>
        <w:spacing w:after="0" w:line="240" w:lineRule="auto"/>
      </w:pPr>
      <w:r>
        <w:separator/>
      </w:r>
    </w:p>
  </w:footnote>
  <w:footnote w:type="continuationSeparator" w:id="0">
    <w:p w14:paraId="72088F9C" w14:textId="77777777" w:rsidR="00FA7379" w:rsidRDefault="00FA7379" w:rsidP="0023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152266"/>
      <w:docPartObj>
        <w:docPartGallery w:val="Page Numbers (Top of Page)"/>
        <w:docPartUnique/>
      </w:docPartObj>
    </w:sdtPr>
    <w:sdtEndPr>
      <w:rPr>
        <w:noProof/>
      </w:rPr>
    </w:sdtEndPr>
    <w:sdtContent>
      <w:p w14:paraId="0F20AC5E" w14:textId="418F7A57" w:rsidR="00C37563" w:rsidRDefault="00C375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A8D100" w14:textId="77777777" w:rsidR="00C37563" w:rsidRDefault="00C37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51D"/>
    <w:multiLevelType w:val="hybridMultilevel"/>
    <w:tmpl w:val="DBF24EA0"/>
    <w:lvl w:ilvl="0" w:tplc="6B564336">
      <w:start w:val="3"/>
      <w:numFmt w:val="bullet"/>
      <w:lvlText w:val="-"/>
      <w:lvlJc w:val="left"/>
      <w:pPr>
        <w:ind w:left="480" w:hanging="360"/>
      </w:pPr>
      <w:rPr>
        <w:rFonts w:ascii="Calibri" w:eastAsiaTheme="minorHAnsi"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4B241A9"/>
    <w:multiLevelType w:val="multilevel"/>
    <w:tmpl w:val="86B2D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23560"/>
    <w:multiLevelType w:val="hybridMultilevel"/>
    <w:tmpl w:val="8EB4389E"/>
    <w:lvl w:ilvl="0" w:tplc="E004A91E">
      <w:start w:val="4"/>
      <w:numFmt w:val="bullet"/>
      <w:lvlText w:val="-"/>
      <w:lvlJc w:val="left"/>
      <w:pPr>
        <w:ind w:left="480" w:hanging="360"/>
      </w:pPr>
      <w:rPr>
        <w:rFonts w:ascii="Cambria" w:eastAsiaTheme="minorHAnsi" w:hAnsi="Cambria"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09D55CCD"/>
    <w:multiLevelType w:val="multilevel"/>
    <w:tmpl w:val="D270C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B87827"/>
    <w:multiLevelType w:val="hybridMultilevel"/>
    <w:tmpl w:val="D664532A"/>
    <w:lvl w:ilvl="0" w:tplc="BF9E89AA">
      <w:numFmt w:val="bullet"/>
      <w:lvlText w:val="-"/>
      <w:lvlJc w:val="left"/>
      <w:pPr>
        <w:ind w:left="480" w:hanging="360"/>
      </w:pPr>
      <w:rPr>
        <w:rFonts w:ascii="Cambria" w:eastAsiaTheme="minorHAnsi" w:hAnsi="Cambria"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0FDE637C"/>
    <w:multiLevelType w:val="hybridMultilevel"/>
    <w:tmpl w:val="DD9AE75A"/>
    <w:lvl w:ilvl="0" w:tplc="AF1AF266">
      <w:numFmt w:val="bullet"/>
      <w:lvlText w:val="-"/>
      <w:lvlJc w:val="left"/>
      <w:pPr>
        <w:ind w:left="480" w:hanging="360"/>
      </w:pPr>
      <w:rPr>
        <w:rFonts w:ascii="Cambria" w:eastAsiaTheme="minorHAnsi" w:hAnsi="Cambria"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0A377F5"/>
    <w:multiLevelType w:val="multilevel"/>
    <w:tmpl w:val="A8147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8113DC"/>
    <w:multiLevelType w:val="multilevel"/>
    <w:tmpl w:val="3B1C0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BB33F8"/>
    <w:multiLevelType w:val="multilevel"/>
    <w:tmpl w:val="F6969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645280"/>
    <w:multiLevelType w:val="multilevel"/>
    <w:tmpl w:val="661C99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076960"/>
    <w:multiLevelType w:val="multilevel"/>
    <w:tmpl w:val="D05CE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6E2A20"/>
    <w:multiLevelType w:val="multilevel"/>
    <w:tmpl w:val="A1B8B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621F8D"/>
    <w:multiLevelType w:val="multilevel"/>
    <w:tmpl w:val="1C380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861EBC"/>
    <w:multiLevelType w:val="multilevel"/>
    <w:tmpl w:val="9E26A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87E5D"/>
    <w:multiLevelType w:val="multilevel"/>
    <w:tmpl w:val="F2DA5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F21F7F"/>
    <w:multiLevelType w:val="multilevel"/>
    <w:tmpl w:val="21284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164DAD"/>
    <w:multiLevelType w:val="multilevel"/>
    <w:tmpl w:val="49166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0027E0"/>
    <w:multiLevelType w:val="multilevel"/>
    <w:tmpl w:val="EEEA3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B37152"/>
    <w:multiLevelType w:val="multilevel"/>
    <w:tmpl w:val="42E24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2050210">
    <w:abstractNumId w:val="17"/>
  </w:num>
  <w:num w:numId="2" w16cid:durableId="2020544863">
    <w:abstractNumId w:val="16"/>
  </w:num>
  <w:num w:numId="3" w16cid:durableId="1720322693">
    <w:abstractNumId w:val="14"/>
  </w:num>
  <w:num w:numId="4" w16cid:durableId="114445806">
    <w:abstractNumId w:val="3"/>
  </w:num>
  <w:num w:numId="5" w16cid:durableId="1840119924">
    <w:abstractNumId w:val="10"/>
  </w:num>
  <w:num w:numId="6" w16cid:durableId="1044327658">
    <w:abstractNumId w:val="9"/>
  </w:num>
  <w:num w:numId="7" w16cid:durableId="404839075">
    <w:abstractNumId w:val="7"/>
  </w:num>
  <w:num w:numId="8" w16cid:durableId="1883512480">
    <w:abstractNumId w:val="11"/>
  </w:num>
  <w:num w:numId="9" w16cid:durableId="268591198">
    <w:abstractNumId w:val="12"/>
  </w:num>
  <w:num w:numId="10" w16cid:durableId="448428252">
    <w:abstractNumId w:val="6"/>
  </w:num>
  <w:num w:numId="11" w16cid:durableId="1120489988">
    <w:abstractNumId w:val="1"/>
  </w:num>
  <w:num w:numId="12" w16cid:durableId="1775008289">
    <w:abstractNumId w:val="13"/>
  </w:num>
  <w:num w:numId="13" w16cid:durableId="609169600">
    <w:abstractNumId w:val="15"/>
  </w:num>
  <w:num w:numId="14" w16cid:durableId="1015691764">
    <w:abstractNumId w:val="8"/>
  </w:num>
  <w:num w:numId="15" w16cid:durableId="2078740109">
    <w:abstractNumId w:val="18"/>
  </w:num>
  <w:num w:numId="16" w16cid:durableId="1781994315">
    <w:abstractNumId w:val="5"/>
  </w:num>
  <w:num w:numId="17" w16cid:durableId="1238708511">
    <w:abstractNumId w:val="4"/>
  </w:num>
  <w:num w:numId="18" w16cid:durableId="1781683939">
    <w:abstractNumId w:val="2"/>
  </w:num>
  <w:num w:numId="19" w16cid:durableId="69110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99"/>
    <w:rsid w:val="00002066"/>
    <w:rsid w:val="00004CBC"/>
    <w:rsid w:val="00012681"/>
    <w:rsid w:val="0002056F"/>
    <w:rsid w:val="000244C6"/>
    <w:rsid w:val="00035324"/>
    <w:rsid w:val="000355CC"/>
    <w:rsid w:val="00043721"/>
    <w:rsid w:val="00054F31"/>
    <w:rsid w:val="00056294"/>
    <w:rsid w:val="000622AF"/>
    <w:rsid w:val="00067AC3"/>
    <w:rsid w:val="00067E01"/>
    <w:rsid w:val="0007187D"/>
    <w:rsid w:val="00072F96"/>
    <w:rsid w:val="00074588"/>
    <w:rsid w:val="0007670D"/>
    <w:rsid w:val="000811D3"/>
    <w:rsid w:val="000831D4"/>
    <w:rsid w:val="0008505D"/>
    <w:rsid w:val="0009037F"/>
    <w:rsid w:val="000A60FA"/>
    <w:rsid w:val="000A73EE"/>
    <w:rsid w:val="000C407F"/>
    <w:rsid w:val="000D0739"/>
    <w:rsid w:val="000E04DD"/>
    <w:rsid w:val="000E0924"/>
    <w:rsid w:val="000E7BB6"/>
    <w:rsid w:val="000E7BD3"/>
    <w:rsid w:val="000F1D95"/>
    <w:rsid w:val="000F4C99"/>
    <w:rsid w:val="000F71F2"/>
    <w:rsid w:val="00100789"/>
    <w:rsid w:val="001070D7"/>
    <w:rsid w:val="00111DF6"/>
    <w:rsid w:val="00113A27"/>
    <w:rsid w:val="00120A20"/>
    <w:rsid w:val="0012643A"/>
    <w:rsid w:val="00127EB5"/>
    <w:rsid w:val="00131A00"/>
    <w:rsid w:val="00143C2F"/>
    <w:rsid w:val="00157886"/>
    <w:rsid w:val="0016094C"/>
    <w:rsid w:val="00164268"/>
    <w:rsid w:val="00170F6D"/>
    <w:rsid w:val="00173763"/>
    <w:rsid w:val="00174BDA"/>
    <w:rsid w:val="00180CC7"/>
    <w:rsid w:val="001824B9"/>
    <w:rsid w:val="00183450"/>
    <w:rsid w:val="001873BF"/>
    <w:rsid w:val="00194B92"/>
    <w:rsid w:val="001968D4"/>
    <w:rsid w:val="00197274"/>
    <w:rsid w:val="001A45CE"/>
    <w:rsid w:val="001A75FC"/>
    <w:rsid w:val="001B0D43"/>
    <w:rsid w:val="001B5D69"/>
    <w:rsid w:val="001B740B"/>
    <w:rsid w:val="001C4B31"/>
    <w:rsid w:val="001C56B7"/>
    <w:rsid w:val="001C71E6"/>
    <w:rsid w:val="001D348E"/>
    <w:rsid w:val="001E5D07"/>
    <w:rsid w:val="001E6781"/>
    <w:rsid w:val="001F1878"/>
    <w:rsid w:val="001F5307"/>
    <w:rsid w:val="001F7A28"/>
    <w:rsid w:val="00201029"/>
    <w:rsid w:val="00203F68"/>
    <w:rsid w:val="00211758"/>
    <w:rsid w:val="00233D97"/>
    <w:rsid w:val="002432D2"/>
    <w:rsid w:val="00243CF3"/>
    <w:rsid w:val="0024585E"/>
    <w:rsid w:val="002543E5"/>
    <w:rsid w:val="0025560E"/>
    <w:rsid w:val="002562C7"/>
    <w:rsid w:val="0026178A"/>
    <w:rsid w:val="002844F1"/>
    <w:rsid w:val="00287024"/>
    <w:rsid w:val="00290263"/>
    <w:rsid w:val="002937EF"/>
    <w:rsid w:val="00294425"/>
    <w:rsid w:val="00295033"/>
    <w:rsid w:val="00295C1A"/>
    <w:rsid w:val="00297727"/>
    <w:rsid w:val="002A7BE1"/>
    <w:rsid w:val="002B25AF"/>
    <w:rsid w:val="002C36A7"/>
    <w:rsid w:val="002C64DD"/>
    <w:rsid w:val="002C6505"/>
    <w:rsid w:val="002C68DC"/>
    <w:rsid w:val="002C6E43"/>
    <w:rsid w:val="002D1079"/>
    <w:rsid w:val="002D3F2C"/>
    <w:rsid w:val="002D43A8"/>
    <w:rsid w:val="002E14D0"/>
    <w:rsid w:val="002E16D9"/>
    <w:rsid w:val="002E1FA4"/>
    <w:rsid w:val="002F18F3"/>
    <w:rsid w:val="002F4449"/>
    <w:rsid w:val="002F566D"/>
    <w:rsid w:val="002F5D80"/>
    <w:rsid w:val="003006E0"/>
    <w:rsid w:val="00307DA0"/>
    <w:rsid w:val="00314462"/>
    <w:rsid w:val="003154D0"/>
    <w:rsid w:val="0032155D"/>
    <w:rsid w:val="00327618"/>
    <w:rsid w:val="00333E1B"/>
    <w:rsid w:val="003351D9"/>
    <w:rsid w:val="00340E16"/>
    <w:rsid w:val="00341B70"/>
    <w:rsid w:val="0034366E"/>
    <w:rsid w:val="00344073"/>
    <w:rsid w:val="0035376E"/>
    <w:rsid w:val="00354CA1"/>
    <w:rsid w:val="00361040"/>
    <w:rsid w:val="00364ACF"/>
    <w:rsid w:val="00365CB7"/>
    <w:rsid w:val="0036600F"/>
    <w:rsid w:val="00366586"/>
    <w:rsid w:val="00370710"/>
    <w:rsid w:val="00373EB0"/>
    <w:rsid w:val="00374C43"/>
    <w:rsid w:val="00381B9E"/>
    <w:rsid w:val="00385E6B"/>
    <w:rsid w:val="003A2989"/>
    <w:rsid w:val="003B0C78"/>
    <w:rsid w:val="003B743D"/>
    <w:rsid w:val="003C04FD"/>
    <w:rsid w:val="003C1BA5"/>
    <w:rsid w:val="003C2C02"/>
    <w:rsid w:val="003D036E"/>
    <w:rsid w:val="003D3350"/>
    <w:rsid w:val="003D7062"/>
    <w:rsid w:val="003D7CC9"/>
    <w:rsid w:val="003E3D9F"/>
    <w:rsid w:val="003E568C"/>
    <w:rsid w:val="003E6D15"/>
    <w:rsid w:val="003F146D"/>
    <w:rsid w:val="003F1AA4"/>
    <w:rsid w:val="003F3CEA"/>
    <w:rsid w:val="003F6B26"/>
    <w:rsid w:val="0040090E"/>
    <w:rsid w:val="00400A20"/>
    <w:rsid w:val="00404626"/>
    <w:rsid w:val="00416D4D"/>
    <w:rsid w:val="00417645"/>
    <w:rsid w:val="0042478D"/>
    <w:rsid w:val="004370AB"/>
    <w:rsid w:val="00442F50"/>
    <w:rsid w:val="004431AC"/>
    <w:rsid w:val="00443CE2"/>
    <w:rsid w:val="00452551"/>
    <w:rsid w:val="00452F75"/>
    <w:rsid w:val="00461008"/>
    <w:rsid w:val="004620AD"/>
    <w:rsid w:val="00462894"/>
    <w:rsid w:val="00470658"/>
    <w:rsid w:val="0047701A"/>
    <w:rsid w:val="00483612"/>
    <w:rsid w:val="00483860"/>
    <w:rsid w:val="0049119C"/>
    <w:rsid w:val="004956A9"/>
    <w:rsid w:val="004958E2"/>
    <w:rsid w:val="0049713F"/>
    <w:rsid w:val="004A4A75"/>
    <w:rsid w:val="004B0EE5"/>
    <w:rsid w:val="004B3274"/>
    <w:rsid w:val="004B689E"/>
    <w:rsid w:val="004C26E0"/>
    <w:rsid w:val="004D58FD"/>
    <w:rsid w:val="004E3514"/>
    <w:rsid w:val="004E528A"/>
    <w:rsid w:val="004E5842"/>
    <w:rsid w:val="004E5CAC"/>
    <w:rsid w:val="004F0297"/>
    <w:rsid w:val="004F6566"/>
    <w:rsid w:val="004F7C1E"/>
    <w:rsid w:val="005003FF"/>
    <w:rsid w:val="00500E6B"/>
    <w:rsid w:val="005076A1"/>
    <w:rsid w:val="00511DF2"/>
    <w:rsid w:val="00514A25"/>
    <w:rsid w:val="00514A9A"/>
    <w:rsid w:val="005156D4"/>
    <w:rsid w:val="00523291"/>
    <w:rsid w:val="00525293"/>
    <w:rsid w:val="00526287"/>
    <w:rsid w:val="0053388E"/>
    <w:rsid w:val="00545050"/>
    <w:rsid w:val="0054522B"/>
    <w:rsid w:val="00546FB9"/>
    <w:rsid w:val="00547887"/>
    <w:rsid w:val="00552D1D"/>
    <w:rsid w:val="00555E4E"/>
    <w:rsid w:val="00560292"/>
    <w:rsid w:val="00563B99"/>
    <w:rsid w:val="00567F2F"/>
    <w:rsid w:val="005747A8"/>
    <w:rsid w:val="005753A2"/>
    <w:rsid w:val="00575E58"/>
    <w:rsid w:val="0057666B"/>
    <w:rsid w:val="005778DF"/>
    <w:rsid w:val="00581978"/>
    <w:rsid w:val="00583C5A"/>
    <w:rsid w:val="005845E5"/>
    <w:rsid w:val="00587896"/>
    <w:rsid w:val="00590B4C"/>
    <w:rsid w:val="005961ED"/>
    <w:rsid w:val="005A222B"/>
    <w:rsid w:val="005A4FB8"/>
    <w:rsid w:val="005A5F08"/>
    <w:rsid w:val="005A6CD9"/>
    <w:rsid w:val="005B07CB"/>
    <w:rsid w:val="005B08EA"/>
    <w:rsid w:val="005B17C2"/>
    <w:rsid w:val="005B37D4"/>
    <w:rsid w:val="005B718B"/>
    <w:rsid w:val="005C7991"/>
    <w:rsid w:val="005D1E24"/>
    <w:rsid w:val="005D79A8"/>
    <w:rsid w:val="005E1DF7"/>
    <w:rsid w:val="005E6E69"/>
    <w:rsid w:val="005F04FA"/>
    <w:rsid w:val="005F3888"/>
    <w:rsid w:val="005F4EA2"/>
    <w:rsid w:val="005F74C4"/>
    <w:rsid w:val="00604A50"/>
    <w:rsid w:val="00606182"/>
    <w:rsid w:val="00610BD0"/>
    <w:rsid w:val="006128C1"/>
    <w:rsid w:val="0061609C"/>
    <w:rsid w:val="0061660D"/>
    <w:rsid w:val="00617B85"/>
    <w:rsid w:val="0062033D"/>
    <w:rsid w:val="00621CB0"/>
    <w:rsid w:val="00622A29"/>
    <w:rsid w:val="006238FA"/>
    <w:rsid w:val="00631874"/>
    <w:rsid w:val="006347A5"/>
    <w:rsid w:val="0064356E"/>
    <w:rsid w:val="00644E6D"/>
    <w:rsid w:val="0065025C"/>
    <w:rsid w:val="00652432"/>
    <w:rsid w:val="00653397"/>
    <w:rsid w:val="006536B9"/>
    <w:rsid w:val="00654BE7"/>
    <w:rsid w:val="006618D0"/>
    <w:rsid w:val="006622D0"/>
    <w:rsid w:val="0066286A"/>
    <w:rsid w:val="00664137"/>
    <w:rsid w:val="006647A5"/>
    <w:rsid w:val="006658F5"/>
    <w:rsid w:val="00675EBD"/>
    <w:rsid w:val="00676A6A"/>
    <w:rsid w:val="00677CC7"/>
    <w:rsid w:val="00681D2E"/>
    <w:rsid w:val="00681FDB"/>
    <w:rsid w:val="006831EA"/>
    <w:rsid w:val="0069061F"/>
    <w:rsid w:val="0069593D"/>
    <w:rsid w:val="0069595C"/>
    <w:rsid w:val="006A1377"/>
    <w:rsid w:val="006A3456"/>
    <w:rsid w:val="006A7A6D"/>
    <w:rsid w:val="006A7C8C"/>
    <w:rsid w:val="006B3ADC"/>
    <w:rsid w:val="006C62AB"/>
    <w:rsid w:val="006D30D6"/>
    <w:rsid w:val="006E10D9"/>
    <w:rsid w:val="006F36BA"/>
    <w:rsid w:val="006F3E88"/>
    <w:rsid w:val="006F46AE"/>
    <w:rsid w:val="006F6F40"/>
    <w:rsid w:val="00702348"/>
    <w:rsid w:val="007110DE"/>
    <w:rsid w:val="00714E04"/>
    <w:rsid w:val="00725161"/>
    <w:rsid w:val="00725B4A"/>
    <w:rsid w:val="00732DCE"/>
    <w:rsid w:val="007354B4"/>
    <w:rsid w:val="007402DD"/>
    <w:rsid w:val="00740C39"/>
    <w:rsid w:val="007436E3"/>
    <w:rsid w:val="00745287"/>
    <w:rsid w:val="00747033"/>
    <w:rsid w:val="00751D9D"/>
    <w:rsid w:val="00752B3B"/>
    <w:rsid w:val="00753F24"/>
    <w:rsid w:val="007551F5"/>
    <w:rsid w:val="00756C24"/>
    <w:rsid w:val="00762B52"/>
    <w:rsid w:val="00770770"/>
    <w:rsid w:val="007802E4"/>
    <w:rsid w:val="0078253E"/>
    <w:rsid w:val="00790562"/>
    <w:rsid w:val="007A029D"/>
    <w:rsid w:val="007A1AC6"/>
    <w:rsid w:val="007A1FFB"/>
    <w:rsid w:val="007A3B64"/>
    <w:rsid w:val="007A6B4D"/>
    <w:rsid w:val="007B2590"/>
    <w:rsid w:val="007C6836"/>
    <w:rsid w:val="007D27AB"/>
    <w:rsid w:val="007D5817"/>
    <w:rsid w:val="007E3B28"/>
    <w:rsid w:val="007E4DA2"/>
    <w:rsid w:val="007E5BBC"/>
    <w:rsid w:val="007E6F9B"/>
    <w:rsid w:val="007F3085"/>
    <w:rsid w:val="007F5A97"/>
    <w:rsid w:val="007F7F92"/>
    <w:rsid w:val="0080747C"/>
    <w:rsid w:val="00811CE9"/>
    <w:rsid w:val="00812F54"/>
    <w:rsid w:val="00815DDC"/>
    <w:rsid w:val="00823B8F"/>
    <w:rsid w:val="008324FE"/>
    <w:rsid w:val="0083515E"/>
    <w:rsid w:val="00836DAC"/>
    <w:rsid w:val="00842534"/>
    <w:rsid w:val="0084442D"/>
    <w:rsid w:val="00844548"/>
    <w:rsid w:val="00844B8A"/>
    <w:rsid w:val="00847FBB"/>
    <w:rsid w:val="00852ED0"/>
    <w:rsid w:val="00852F12"/>
    <w:rsid w:val="0085463B"/>
    <w:rsid w:val="0086034E"/>
    <w:rsid w:val="00860453"/>
    <w:rsid w:val="00860F5F"/>
    <w:rsid w:val="008648A9"/>
    <w:rsid w:val="0087018C"/>
    <w:rsid w:val="00871E00"/>
    <w:rsid w:val="00873A16"/>
    <w:rsid w:val="00874635"/>
    <w:rsid w:val="00877D0B"/>
    <w:rsid w:val="008801F7"/>
    <w:rsid w:val="00884C72"/>
    <w:rsid w:val="00886ED7"/>
    <w:rsid w:val="00890737"/>
    <w:rsid w:val="00892316"/>
    <w:rsid w:val="00892419"/>
    <w:rsid w:val="008A2D57"/>
    <w:rsid w:val="008A3563"/>
    <w:rsid w:val="008A5B0E"/>
    <w:rsid w:val="008A6345"/>
    <w:rsid w:val="008B1DE9"/>
    <w:rsid w:val="008B31E2"/>
    <w:rsid w:val="008C35D3"/>
    <w:rsid w:val="008C69B7"/>
    <w:rsid w:val="008C6BF1"/>
    <w:rsid w:val="008C796B"/>
    <w:rsid w:val="008E0389"/>
    <w:rsid w:val="008E2954"/>
    <w:rsid w:val="008E5AD7"/>
    <w:rsid w:val="008F2135"/>
    <w:rsid w:val="0090517A"/>
    <w:rsid w:val="00911A6D"/>
    <w:rsid w:val="00922310"/>
    <w:rsid w:val="009238FB"/>
    <w:rsid w:val="009255FC"/>
    <w:rsid w:val="00926DC2"/>
    <w:rsid w:val="00930D6D"/>
    <w:rsid w:val="00931F37"/>
    <w:rsid w:val="00935127"/>
    <w:rsid w:val="00940104"/>
    <w:rsid w:val="009419F5"/>
    <w:rsid w:val="00943FCD"/>
    <w:rsid w:val="00950D6A"/>
    <w:rsid w:val="00950E6B"/>
    <w:rsid w:val="00952707"/>
    <w:rsid w:val="0095464A"/>
    <w:rsid w:val="00956AD0"/>
    <w:rsid w:val="0095743D"/>
    <w:rsid w:val="00961CC6"/>
    <w:rsid w:val="00967618"/>
    <w:rsid w:val="00976771"/>
    <w:rsid w:val="00984C18"/>
    <w:rsid w:val="00993474"/>
    <w:rsid w:val="009A2EB2"/>
    <w:rsid w:val="009A6285"/>
    <w:rsid w:val="009A62E6"/>
    <w:rsid w:val="009B31A0"/>
    <w:rsid w:val="009B43D4"/>
    <w:rsid w:val="009D3E3C"/>
    <w:rsid w:val="009D59B4"/>
    <w:rsid w:val="009E0C34"/>
    <w:rsid w:val="009E2673"/>
    <w:rsid w:val="009E293B"/>
    <w:rsid w:val="009E64B2"/>
    <w:rsid w:val="009F023A"/>
    <w:rsid w:val="00A018B6"/>
    <w:rsid w:val="00A07581"/>
    <w:rsid w:val="00A07643"/>
    <w:rsid w:val="00A10439"/>
    <w:rsid w:val="00A2143B"/>
    <w:rsid w:val="00A378DC"/>
    <w:rsid w:val="00A427A4"/>
    <w:rsid w:val="00A464E6"/>
    <w:rsid w:val="00A46DA3"/>
    <w:rsid w:val="00A52E93"/>
    <w:rsid w:val="00A53B3B"/>
    <w:rsid w:val="00A6509D"/>
    <w:rsid w:val="00A709AF"/>
    <w:rsid w:val="00A72195"/>
    <w:rsid w:val="00A80AF8"/>
    <w:rsid w:val="00A81A0C"/>
    <w:rsid w:val="00A86371"/>
    <w:rsid w:val="00A92DEA"/>
    <w:rsid w:val="00A953C7"/>
    <w:rsid w:val="00AA6FB4"/>
    <w:rsid w:val="00AB4326"/>
    <w:rsid w:val="00AB719B"/>
    <w:rsid w:val="00AC0A93"/>
    <w:rsid w:val="00AC0AFE"/>
    <w:rsid w:val="00AC2181"/>
    <w:rsid w:val="00AC343B"/>
    <w:rsid w:val="00AC3652"/>
    <w:rsid w:val="00AC6FA8"/>
    <w:rsid w:val="00AD072F"/>
    <w:rsid w:val="00AD5B2E"/>
    <w:rsid w:val="00B064C3"/>
    <w:rsid w:val="00B06CD7"/>
    <w:rsid w:val="00B127AE"/>
    <w:rsid w:val="00B20A04"/>
    <w:rsid w:val="00B2203B"/>
    <w:rsid w:val="00B22EAB"/>
    <w:rsid w:val="00B261B6"/>
    <w:rsid w:val="00B30571"/>
    <w:rsid w:val="00B37748"/>
    <w:rsid w:val="00B404C2"/>
    <w:rsid w:val="00B438C9"/>
    <w:rsid w:val="00B50A76"/>
    <w:rsid w:val="00B51A8F"/>
    <w:rsid w:val="00B51FF6"/>
    <w:rsid w:val="00B53C62"/>
    <w:rsid w:val="00B56BEB"/>
    <w:rsid w:val="00B62994"/>
    <w:rsid w:val="00B66345"/>
    <w:rsid w:val="00B66FFE"/>
    <w:rsid w:val="00B67725"/>
    <w:rsid w:val="00B84FB9"/>
    <w:rsid w:val="00B961B9"/>
    <w:rsid w:val="00BA6196"/>
    <w:rsid w:val="00BB0AA9"/>
    <w:rsid w:val="00BB2637"/>
    <w:rsid w:val="00BB73E6"/>
    <w:rsid w:val="00BB7434"/>
    <w:rsid w:val="00BB7655"/>
    <w:rsid w:val="00BC0BC3"/>
    <w:rsid w:val="00BC17A1"/>
    <w:rsid w:val="00BC34C9"/>
    <w:rsid w:val="00BE03F1"/>
    <w:rsid w:val="00BE5A64"/>
    <w:rsid w:val="00BF01CC"/>
    <w:rsid w:val="00BF74A8"/>
    <w:rsid w:val="00C0107D"/>
    <w:rsid w:val="00C03CCC"/>
    <w:rsid w:val="00C04CD3"/>
    <w:rsid w:val="00C04D03"/>
    <w:rsid w:val="00C04E40"/>
    <w:rsid w:val="00C056EA"/>
    <w:rsid w:val="00C05C7F"/>
    <w:rsid w:val="00C0677E"/>
    <w:rsid w:val="00C07FF9"/>
    <w:rsid w:val="00C20E1A"/>
    <w:rsid w:val="00C22831"/>
    <w:rsid w:val="00C22E65"/>
    <w:rsid w:val="00C24543"/>
    <w:rsid w:val="00C273D4"/>
    <w:rsid w:val="00C3005A"/>
    <w:rsid w:val="00C31DDC"/>
    <w:rsid w:val="00C32D42"/>
    <w:rsid w:val="00C37563"/>
    <w:rsid w:val="00C46A60"/>
    <w:rsid w:val="00C56E60"/>
    <w:rsid w:val="00C572D6"/>
    <w:rsid w:val="00C631DC"/>
    <w:rsid w:val="00C631FD"/>
    <w:rsid w:val="00C650AB"/>
    <w:rsid w:val="00C65F74"/>
    <w:rsid w:val="00C6680E"/>
    <w:rsid w:val="00C66C10"/>
    <w:rsid w:val="00C73D91"/>
    <w:rsid w:val="00C83500"/>
    <w:rsid w:val="00C86C4F"/>
    <w:rsid w:val="00C9741D"/>
    <w:rsid w:val="00CA56AB"/>
    <w:rsid w:val="00CA6A95"/>
    <w:rsid w:val="00CA6E91"/>
    <w:rsid w:val="00CB0308"/>
    <w:rsid w:val="00CB3125"/>
    <w:rsid w:val="00CB3988"/>
    <w:rsid w:val="00CB6769"/>
    <w:rsid w:val="00CC77D0"/>
    <w:rsid w:val="00CD1D90"/>
    <w:rsid w:val="00CE2190"/>
    <w:rsid w:val="00CE338A"/>
    <w:rsid w:val="00CE7D0A"/>
    <w:rsid w:val="00CF5976"/>
    <w:rsid w:val="00CF657A"/>
    <w:rsid w:val="00D02521"/>
    <w:rsid w:val="00D13653"/>
    <w:rsid w:val="00D1630B"/>
    <w:rsid w:val="00D178A8"/>
    <w:rsid w:val="00D17D89"/>
    <w:rsid w:val="00D23813"/>
    <w:rsid w:val="00D243DB"/>
    <w:rsid w:val="00D32ED3"/>
    <w:rsid w:val="00D37243"/>
    <w:rsid w:val="00D4292D"/>
    <w:rsid w:val="00D4346F"/>
    <w:rsid w:val="00D43BDE"/>
    <w:rsid w:val="00D45304"/>
    <w:rsid w:val="00D45E07"/>
    <w:rsid w:val="00D52269"/>
    <w:rsid w:val="00D52BB2"/>
    <w:rsid w:val="00D57236"/>
    <w:rsid w:val="00D60D49"/>
    <w:rsid w:val="00D61D6D"/>
    <w:rsid w:val="00D71284"/>
    <w:rsid w:val="00D731DF"/>
    <w:rsid w:val="00D73966"/>
    <w:rsid w:val="00D81113"/>
    <w:rsid w:val="00D83781"/>
    <w:rsid w:val="00D862E7"/>
    <w:rsid w:val="00D87096"/>
    <w:rsid w:val="00D928E2"/>
    <w:rsid w:val="00DA25BE"/>
    <w:rsid w:val="00DB3699"/>
    <w:rsid w:val="00DB44BB"/>
    <w:rsid w:val="00DC3507"/>
    <w:rsid w:val="00DC5C13"/>
    <w:rsid w:val="00DC6CEB"/>
    <w:rsid w:val="00DC6DC8"/>
    <w:rsid w:val="00DD043A"/>
    <w:rsid w:val="00DD2B36"/>
    <w:rsid w:val="00DD658E"/>
    <w:rsid w:val="00DE55C4"/>
    <w:rsid w:val="00DE73F3"/>
    <w:rsid w:val="00DF01F6"/>
    <w:rsid w:val="00DF28BC"/>
    <w:rsid w:val="00DF2C29"/>
    <w:rsid w:val="00DF660C"/>
    <w:rsid w:val="00DF6EC4"/>
    <w:rsid w:val="00E017F3"/>
    <w:rsid w:val="00E045A3"/>
    <w:rsid w:val="00E04619"/>
    <w:rsid w:val="00E130A0"/>
    <w:rsid w:val="00E212F2"/>
    <w:rsid w:val="00E21FBE"/>
    <w:rsid w:val="00E2450F"/>
    <w:rsid w:val="00E3226A"/>
    <w:rsid w:val="00E3245A"/>
    <w:rsid w:val="00E44120"/>
    <w:rsid w:val="00E47077"/>
    <w:rsid w:val="00E509DE"/>
    <w:rsid w:val="00E542E9"/>
    <w:rsid w:val="00E54552"/>
    <w:rsid w:val="00E57858"/>
    <w:rsid w:val="00E62240"/>
    <w:rsid w:val="00E628C7"/>
    <w:rsid w:val="00E71861"/>
    <w:rsid w:val="00E731F1"/>
    <w:rsid w:val="00E74A6F"/>
    <w:rsid w:val="00E753E9"/>
    <w:rsid w:val="00E83112"/>
    <w:rsid w:val="00E85990"/>
    <w:rsid w:val="00E85BCA"/>
    <w:rsid w:val="00E95D93"/>
    <w:rsid w:val="00EA5274"/>
    <w:rsid w:val="00EA6B07"/>
    <w:rsid w:val="00EB64EE"/>
    <w:rsid w:val="00EB65FF"/>
    <w:rsid w:val="00EC0607"/>
    <w:rsid w:val="00EC09A5"/>
    <w:rsid w:val="00EC301E"/>
    <w:rsid w:val="00EC5C7F"/>
    <w:rsid w:val="00EC5EE6"/>
    <w:rsid w:val="00EC68DF"/>
    <w:rsid w:val="00ED4F41"/>
    <w:rsid w:val="00EE6372"/>
    <w:rsid w:val="00F00593"/>
    <w:rsid w:val="00F01CAC"/>
    <w:rsid w:val="00F0643A"/>
    <w:rsid w:val="00F077ED"/>
    <w:rsid w:val="00F120A1"/>
    <w:rsid w:val="00F13C96"/>
    <w:rsid w:val="00F14699"/>
    <w:rsid w:val="00F24BFA"/>
    <w:rsid w:val="00F424C0"/>
    <w:rsid w:val="00F44C21"/>
    <w:rsid w:val="00F5037E"/>
    <w:rsid w:val="00F5332B"/>
    <w:rsid w:val="00F55C27"/>
    <w:rsid w:val="00F57F95"/>
    <w:rsid w:val="00F60D12"/>
    <w:rsid w:val="00F650F9"/>
    <w:rsid w:val="00F70358"/>
    <w:rsid w:val="00F7585D"/>
    <w:rsid w:val="00F77A2C"/>
    <w:rsid w:val="00F83A80"/>
    <w:rsid w:val="00F8502C"/>
    <w:rsid w:val="00F869AB"/>
    <w:rsid w:val="00F90976"/>
    <w:rsid w:val="00F96751"/>
    <w:rsid w:val="00FA0A92"/>
    <w:rsid w:val="00FA3A8D"/>
    <w:rsid w:val="00FA7379"/>
    <w:rsid w:val="00FB21EE"/>
    <w:rsid w:val="00FB232D"/>
    <w:rsid w:val="00FC1232"/>
    <w:rsid w:val="00FC1315"/>
    <w:rsid w:val="00FC2B70"/>
    <w:rsid w:val="00FC4704"/>
    <w:rsid w:val="00FC4801"/>
    <w:rsid w:val="00FC6A61"/>
    <w:rsid w:val="00FC78D6"/>
    <w:rsid w:val="00FD1B6A"/>
    <w:rsid w:val="00FD5F2E"/>
    <w:rsid w:val="00FE5B78"/>
    <w:rsid w:val="00FF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C5D0"/>
  <w15:docId w15:val="{E1546F9C-6771-4C64-9F5F-9E08EB94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563B99"/>
    <w:rPr>
      <w:sz w:val="16"/>
      <w:szCs w:val="16"/>
    </w:rPr>
  </w:style>
  <w:style w:type="paragraph" w:styleId="CommentText">
    <w:name w:val="annotation text"/>
    <w:basedOn w:val="Normal"/>
    <w:link w:val="CommentTextChar"/>
    <w:uiPriority w:val="99"/>
    <w:unhideWhenUsed/>
    <w:rsid w:val="00563B99"/>
    <w:pPr>
      <w:spacing w:line="240" w:lineRule="auto"/>
    </w:pPr>
    <w:rPr>
      <w:sz w:val="20"/>
      <w:szCs w:val="20"/>
    </w:rPr>
  </w:style>
  <w:style w:type="character" w:customStyle="1" w:styleId="CommentTextChar">
    <w:name w:val="Comment Text Char"/>
    <w:basedOn w:val="DefaultParagraphFont"/>
    <w:link w:val="CommentText"/>
    <w:uiPriority w:val="99"/>
    <w:rsid w:val="00563B99"/>
    <w:rPr>
      <w:sz w:val="20"/>
      <w:szCs w:val="20"/>
    </w:rPr>
  </w:style>
  <w:style w:type="paragraph" w:styleId="CommentSubject">
    <w:name w:val="annotation subject"/>
    <w:basedOn w:val="CommentText"/>
    <w:next w:val="CommentText"/>
    <w:link w:val="CommentSubjectChar"/>
    <w:uiPriority w:val="99"/>
    <w:semiHidden/>
    <w:unhideWhenUsed/>
    <w:rsid w:val="00563B99"/>
    <w:rPr>
      <w:b/>
      <w:bCs/>
    </w:rPr>
  </w:style>
  <w:style w:type="character" w:customStyle="1" w:styleId="CommentSubjectChar">
    <w:name w:val="Comment Subject Char"/>
    <w:basedOn w:val="CommentTextChar"/>
    <w:link w:val="CommentSubject"/>
    <w:uiPriority w:val="99"/>
    <w:semiHidden/>
    <w:rsid w:val="00563B99"/>
    <w:rPr>
      <w:b/>
      <w:bCs/>
      <w:sz w:val="20"/>
      <w:szCs w:val="20"/>
    </w:rPr>
  </w:style>
  <w:style w:type="paragraph" w:styleId="BalloonText">
    <w:name w:val="Balloon Text"/>
    <w:basedOn w:val="Normal"/>
    <w:link w:val="BalloonTextChar"/>
    <w:uiPriority w:val="99"/>
    <w:semiHidden/>
    <w:unhideWhenUsed/>
    <w:rsid w:val="00563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B99"/>
    <w:rPr>
      <w:rFonts w:ascii="Segoe UI" w:hAnsi="Segoe UI" w:cs="Segoe UI"/>
      <w:sz w:val="18"/>
      <w:szCs w:val="18"/>
    </w:rPr>
  </w:style>
  <w:style w:type="paragraph" w:styleId="ListParagraph">
    <w:name w:val="List Paragraph"/>
    <w:basedOn w:val="Normal"/>
    <w:uiPriority w:val="99"/>
    <w:rsid w:val="00295C1A"/>
    <w:pPr>
      <w:ind w:left="720"/>
      <w:contextualSpacing/>
    </w:pPr>
  </w:style>
  <w:style w:type="paragraph" w:styleId="EndnoteText">
    <w:name w:val="endnote text"/>
    <w:basedOn w:val="Normal"/>
    <w:link w:val="EndnoteTextChar"/>
    <w:uiPriority w:val="99"/>
    <w:semiHidden/>
    <w:unhideWhenUsed/>
    <w:rsid w:val="00233D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3D97"/>
    <w:rPr>
      <w:sz w:val="20"/>
      <w:szCs w:val="20"/>
    </w:rPr>
  </w:style>
  <w:style w:type="character" w:styleId="EndnoteReference">
    <w:name w:val="endnote reference"/>
    <w:basedOn w:val="DefaultParagraphFont"/>
    <w:uiPriority w:val="99"/>
    <w:semiHidden/>
    <w:unhideWhenUsed/>
    <w:rsid w:val="00233D97"/>
    <w:rPr>
      <w:vertAlign w:val="superscript"/>
    </w:rPr>
  </w:style>
  <w:style w:type="paragraph" w:styleId="Footer">
    <w:name w:val="footer"/>
    <w:basedOn w:val="Normal"/>
    <w:link w:val="FooterChar"/>
    <w:uiPriority w:val="99"/>
    <w:unhideWhenUsed/>
    <w:rsid w:val="00043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09895">
      <w:bodyDiv w:val="1"/>
      <w:marLeft w:val="0"/>
      <w:marRight w:val="0"/>
      <w:marTop w:val="0"/>
      <w:marBottom w:val="0"/>
      <w:divBdr>
        <w:top w:val="none" w:sz="0" w:space="0" w:color="auto"/>
        <w:left w:val="none" w:sz="0" w:space="0" w:color="auto"/>
        <w:bottom w:val="none" w:sz="0" w:space="0" w:color="auto"/>
        <w:right w:val="none" w:sz="0" w:space="0" w:color="auto"/>
      </w:divBdr>
      <w:divsChild>
        <w:div w:id="851187626">
          <w:marLeft w:val="0"/>
          <w:marRight w:val="0"/>
          <w:marTop w:val="0"/>
          <w:marBottom w:val="0"/>
          <w:divBdr>
            <w:top w:val="none" w:sz="0" w:space="0" w:color="auto"/>
            <w:left w:val="none" w:sz="0" w:space="0" w:color="auto"/>
            <w:bottom w:val="none" w:sz="0" w:space="0" w:color="auto"/>
            <w:right w:val="none" w:sz="0" w:space="0" w:color="auto"/>
          </w:divBdr>
        </w:div>
        <w:div w:id="1752509199">
          <w:marLeft w:val="0"/>
          <w:marRight w:val="0"/>
          <w:marTop w:val="0"/>
          <w:marBottom w:val="0"/>
          <w:divBdr>
            <w:top w:val="none" w:sz="0" w:space="0" w:color="auto"/>
            <w:left w:val="none" w:sz="0" w:space="0" w:color="auto"/>
            <w:bottom w:val="none" w:sz="0" w:space="0" w:color="auto"/>
            <w:right w:val="none" w:sz="0" w:space="0" w:color="auto"/>
          </w:divBdr>
        </w:div>
        <w:div w:id="1847863963">
          <w:marLeft w:val="0"/>
          <w:marRight w:val="0"/>
          <w:marTop w:val="0"/>
          <w:marBottom w:val="0"/>
          <w:divBdr>
            <w:top w:val="none" w:sz="0" w:space="0" w:color="auto"/>
            <w:left w:val="none" w:sz="0" w:space="0" w:color="auto"/>
            <w:bottom w:val="none" w:sz="0" w:space="0" w:color="auto"/>
            <w:right w:val="none" w:sz="0" w:space="0" w:color="auto"/>
          </w:divBdr>
        </w:div>
      </w:divsChild>
    </w:div>
    <w:div w:id="291835170">
      <w:bodyDiv w:val="1"/>
      <w:marLeft w:val="0"/>
      <w:marRight w:val="0"/>
      <w:marTop w:val="0"/>
      <w:marBottom w:val="0"/>
      <w:divBdr>
        <w:top w:val="none" w:sz="0" w:space="0" w:color="auto"/>
        <w:left w:val="none" w:sz="0" w:space="0" w:color="auto"/>
        <w:bottom w:val="none" w:sz="0" w:space="0" w:color="auto"/>
        <w:right w:val="none" w:sz="0" w:space="0" w:color="auto"/>
      </w:divBdr>
      <w:divsChild>
        <w:div w:id="185934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210692">
              <w:marLeft w:val="0"/>
              <w:marRight w:val="0"/>
              <w:marTop w:val="0"/>
              <w:marBottom w:val="0"/>
              <w:divBdr>
                <w:top w:val="none" w:sz="0" w:space="0" w:color="auto"/>
                <w:left w:val="none" w:sz="0" w:space="0" w:color="auto"/>
                <w:bottom w:val="none" w:sz="0" w:space="0" w:color="auto"/>
                <w:right w:val="none" w:sz="0" w:space="0" w:color="auto"/>
              </w:divBdr>
              <w:divsChild>
                <w:div w:id="4442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2751">
      <w:bodyDiv w:val="1"/>
      <w:marLeft w:val="0"/>
      <w:marRight w:val="0"/>
      <w:marTop w:val="0"/>
      <w:marBottom w:val="0"/>
      <w:divBdr>
        <w:top w:val="none" w:sz="0" w:space="0" w:color="auto"/>
        <w:left w:val="none" w:sz="0" w:space="0" w:color="auto"/>
        <w:bottom w:val="none" w:sz="0" w:space="0" w:color="auto"/>
        <w:right w:val="none" w:sz="0" w:space="0" w:color="auto"/>
      </w:divBdr>
      <w:divsChild>
        <w:div w:id="299576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92711">
              <w:marLeft w:val="0"/>
              <w:marRight w:val="0"/>
              <w:marTop w:val="0"/>
              <w:marBottom w:val="0"/>
              <w:divBdr>
                <w:top w:val="none" w:sz="0" w:space="0" w:color="auto"/>
                <w:left w:val="none" w:sz="0" w:space="0" w:color="auto"/>
                <w:bottom w:val="none" w:sz="0" w:space="0" w:color="auto"/>
                <w:right w:val="none" w:sz="0" w:space="0" w:color="auto"/>
              </w:divBdr>
              <w:divsChild>
                <w:div w:id="11677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9518">
      <w:bodyDiv w:val="1"/>
      <w:marLeft w:val="0"/>
      <w:marRight w:val="0"/>
      <w:marTop w:val="0"/>
      <w:marBottom w:val="0"/>
      <w:divBdr>
        <w:top w:val="none" w:sz="0" w:space="0" w:color="auto"/>
        <w:left w:val="none" w:sz="0" w:space="0" w:color="auto"/>
        <w:bottom w:val="none" w:sz="0" w:space="0" w:color="auto"/>
        <w:right w:val="none" w:sz="0" w:space="0" w:color="auto"/>
      </w:divBdr>
      <w:divsChild>
        <w:div w:id="155733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05501">
              <w:marLeft w:val="0"/>
              <w:marRight w:val="0"/>
              <w:marTop w:val="0"/>
              <w:marBottom w:val="0"/>
              <w:divBdr>
                <w:top w:val="none" w:sz="0" w:space="0" w:color="auto"/>
                <w:left w:val="none" w:sz="0" w:space="0" w:color="auto"/>
                <w:bottom w:val="none" w:sz="0" w:space="0" w:color="auto"/>
                <w:right w:val="none" w:sz="0" w:space="0" w:color="auto"/>
              </w:divBdr>
              <w:divsChild>
                <w:div w:id="1698457793">
                  <w:marLeft w:val="0"/>
                  <w:marRight w:val="0"/>
                  <w:marTop w:val="0"/>
                  <w:marBottom w:val="0"/>
                  <w:divBdr>
                    <w:top w:val="none" w:sz="0" w:space="0" w:color="auto"/>
                    <w:left w:val="none" w:sz="0" w:space="0" w:color="auto"/>
                    <w:bottom w:val="none" w:sz="0" w:space="0" w:color="auto"/>
                    <w:right w:val="none" w:sz="0" w:space="0" w:color="auto"/>
                  </w:divBdr>
                  <w:divsChild>
                    <w:div w:id="1241981440">
                      <w:marLeft w:val="0"/>
                      <w:marRight w:val="0"/>
                      <w:marTop w:val="0"/>
                      <w:marBottom w:val="0"/>
                      <w:divBdr>
                        <w:top w:val="none" w:sz="0" w:space="0" w:color="auto"/>
                        <w:left w:val="none" w:sz="0" w:space="0" w:color="auto"/>
                        <w:bottom w:val="none" w:sz="0" w:space="0" w:color="auto"/>
                        <w:right w:val="none" w:sz="0" w:space="0" w:color="auto"/>
                      </w:divBdr>
                      <w:divsChild>
                        <w:div w:id="688878065">
                          <w:marLeft w:val="0"/>
                          <w:marRight w:val="0"/>
                          <w:marTop w:val="0"/>
                          <w:marBottom w:val="0"/>
                          <w:divBdr>
                            <w:top w:val="none" w:sz="0" w:space="0" w:color="auto"/>
                            <w:left w:val="none" w:sz="0" w:space="0" w:color="auto"/>
                            <w:bottom w:val="none" w:sz="0" w:space="0" w:color="auto"/>
                            <w:right w:val="none" w:sz="0" w:space="0" w:color="auto"/>
                          </w:divBdr>
                          <w:divsChild>
                            <w:div w:id="263927693">
                              <w:marLeft w:val="0"/>
                              <w:marRight w:val="0"/>
                              <w:marTop w:val="0"/>
                              <w:marBottom w:val="0"/>
                              <w:divBdr>
                                <w:top w:val="none" w:sz="0" w:space="0" w:color="auto"/>
                                <w:left w:val="none" w:sz="0" w:space="0" w:color="auto"/>
                                <w:bottom w:val="none" w:sz="0" w:space="0" w:color="auto"/>
                                <w:right w:val="none" w:sz="0" w:space="0" w:color="auto"/>
                              </w:divBdr>
                              <w:divsChild>
                                <w:div w:id="446462728">
                                  <w:marLeft w:val="0"/>
                                  <w:marRight w:val="0"/>
                                  <w:marTop w:val="0"/>
                                  <w:marBottom w:val="0"/>
                                  <w:divBdr>
                                    <w:top w:val="none" w:sz="0" w:space="0" w:color="auto"/>
                                    <w:left w:val="none" w:sz="0" w:space="0" w:color="auto"/>
                                    <w:bottom w:val="none" w:sz="0" w:space="0" w:color="auto"/>
                                    <w:right w:val="none" w:sz="0" w:space="0" w:color="auto"/>
                                  </w:divBdr>
                                  <w:divsChild>
                                    <w:div w:id="1558592080">
                                      <w:marLeft w:val="0"/>
                                      <w:marRight w:val="0"/>
                                      <w:marTop w:val="0"/>
                                      <w:marBottom w:val="0"/>
                                      <w:divBdr>
                                        <w:top w:val="none" w:sz="0" w:space="0" w:color="auto"/>
                                        <w:left w:val="none" w:sz="0" w:space="0" w:color="auto"/>
                                        <w:bottom w:val="none" w:sz="0" w:space="0" w:color="auto"/>
                                        <w:right w:val="none" w:sz="0" w:space="0" w:color="auto"/>
                                      </w:divBdr>
                                      <w:divsChild>
                                        <w:div w:id="1410424771">
                                          <w:marLeft w:val="0"/>
                                          <w:marRight w:val="0"/>
                                          <w:marTop w:val="0"/>
                                          <w:marBottom w:val="0"/>
                                          <w:divBdr>
                                            <w:top w:val="none" w:sz="0" w:space="0" w:color="auto"/>
                                            <w:left w:val="none" w:sz="0" w:space="0" w:color="auto"/>
                                            <w:bottom w:val="none" w:sz="0" w:space="0" w:color="auto"/>
                                            <w:right w:val="none" w:sz="0" w:space="0" w:color="auto"/>
                                          </w:divBdr>
                                          <w:divsChild>
                                            <w:div w:id="817117410">
                                              <w:marLeft w:val="0"/>
                                              <w:marRight w:val="0"/>
                                              <w:marTop w:val="0"/>
                                              <w:marBottom w:val="0"/>
                                              <w:divBdr>
                                                <w:top w:val="none" w:sz="0" w:space="0" w:color="auto"/>
                                                <w:left w:val="none" w:sz="0" w:space="0" w:color="auto"/>
                                                <w:bottom w:val="none" w:sz="0" w:space="0" w:color="auto"/>
                                                <w:right w:val="none" w:sz="0" w:space="0" w:color="auto"/>
                                              </w:divBdr>
                                              <w:divsChild>
                                                <w:div w:id="1880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738396">
      <w:bodyDiv w:val="1"/>
      <w:marLeft w:val="0"/>
      <w:marRight w:val="0"/>
      <w:marTop w:val="0"/>
      <w:marBottom w:val="0"/>
      <w:divBdr>
        <w:top w:val="none" w:sz="0" w:space="0" w:color="auto"/>
        <w:left w:val="none" w:sz="0" w:space="0" w:color="auto"/>
        <w:bottom w:val="none" w:sz="0" w:space="0" w:color="auto"/>
        <w:right w:val="none" w:sz="0" w:space="0" w:color="auto"/>
      </w:divBdr>
      <w:divsChild>
        <w:div w:id="1671908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658395">
              <w:marLeft w:val="0"/>
              <w:marRight w:val="0"/>
              <w:marTop w:val="0"/>
              <w:marBottom w:val="0"/>
              <w:divBdr>
                <w:top w:val="none" w:sz="0" w:space="0" w:color="auto"/>
                <w:left w:val="none" w:sz="0" w:space="0" w:color="auto"/>
                <w:bottom w:val="none" w:sz="0" w:space="0" w:color="auto"/>
                <w:right w:val="none" w:sz="0" w:space="0" w:color="auto"/>
              </w:divBdr>
              <w:divsChild>
                <w:div w:id="10028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gov.bc.ca/assets/gov/education/post-secondary-education/data-research/stp/stp_research_resul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161DC83940914D96C43E4AE6BB2DA6" ma:contentTypeVersion="14" ma:contentTypeDescription="Create a new document." ma:contentTypeScope="" ma:versionID="7cef3dc058f8e4b999664f8057297522">
  <xsd:schema xmlns:xsd="http://www.w3.org/2001/XMLSchema" xmlns:xs="http://www.w3.org/2001/XMLSchema" xmlns:p="http://schemas.microsoft.com/office/2006/metadata/properties" xmlns:ns3="67b0cca7-1297-4bf0-b48e-238f0e632dfa" xmlns:ns4="b4b26043-7c8e-4df9-bc8b-411451856cfe" targetNamespace="http://schemas.microsoft.com/office/2006/metadata/properties" ma:root="true" ma:fieldsID="34c2c6e7c9ab5b2d11911f3f414b0bae" ns3:_="" ns4:_="">
    <xsd:import namespace="67b0cca7-1297-4bf0-b48e-238f0e632dfa"/>
    <xsd:import namespace="b4b26043-7c8e-4df9-bc8b-411451856c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cca7-1297-4bf0-b48e-238f0e632d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26043-7c8e-4df9-bc8b-411451856c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4E218-A0B1-448F-A862-CC71F07FA8CE}">
  <ds:schemaRefs>
    <ds:schemaRef ds:uri="http://schemas.microsoft.com/sharepoint/v3/contenttype/forms"/>
  </ds:schemaRefs>
</ds:datastoreItem>
</file>

<file path=customXml/itemProps2.xml><?xml version="1.0" encoding="utf-8"?>
<ds:datastoreItem xmlns:ds="http://schemas.openxmlformats.org/officeDocument/2006/customXml" ds:itemID="{6FFDB9CF-599E-444D-9F8A-ABA203E51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cca7-1297-4bf0-b48e-238f0e632dfa"/>
    <ds:schemaRef ds:uri="b4b26043-7c8e-4df9-bc8b-411451856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BCDEB-C369-4168-8BCF-374C3E6CB77D}">
  <ds:schemaRefs>
    <ds:schemaRef ds:uri="http://schemas.openxmlformats.org/officeDocument/2006/bibliography"/>
  </ds:schemaRefs>
</ds:datastoreItem>
</file>

<file path=customXml/itemProps4.xml><?xml version="1.0" encoding="utf-8"?>
<ds:datastoreItem xmlns:ds="http://schemas.openxmlformats.org/officeDocument/2006/customXml" ds:itemID="{8CF8612A-F557-493C-A772-A0B4A14C0B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9975</Words>
  <Characters>56858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OISE U of T</Company>
  <LinksUpToDate>false</LinksUpToDate>
  <CharactersWithSpaces>66700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Davies</dc:creator>
  <cp:lastModifiedBy>Jane Waldner</cp:lastModifiedBy>
  <cp:revision>2</cp:revision>
  <dcterms:created xsi:type="dcterms:W3CDTF">2022-05-13T13:59:00Z</dcterms:created>
  <dcterms:modified xsi:type="dcterms:W3CDTF">2022-05-13T13:59:00Z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0x0101008C161DC83940914D96C43E4AE6BB2DA6</vt:lpwstr>
  </property>
</Properties>
</file>