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06C8" w14:textId="77777777" w:rsidR="007014B5" w:rsidRPr="007014B5" w:rsidRDefault="007014B5" w:rsidP="007014B5">
      <w:pPr>
        <w:spacing w:after="80" w:line="240" w:lineRule="auto"/>
        <w:rPr>
          <w:rFonts w:ascii="Calibri" w:eastAsia="Times New Roman" w:hAnsi="Calibri" w:cs="Calibri"/>
          <w:b/>
          <w:bCs/>
          <w:color w:val="365F92"/>
          <w:lang w:val="en-US"/>
        </w:rPr>
      </w:pPr>
      <w:r w:rsidRPr="007014B5">
        <w:rPr>
          <w:rFonts w:ascii="Calibri" w:eastAsia="Times New Roman" w:hAnsi="Calibri" w:cs="Calibri"/>
          <w:b/>
          <w:bCs/>
          <w:noProof/>
          <w:color w:val="365F92"/>
          <w:lang w:val="en-US"/>
        </w:rPr>
        <w:drawing>
          <wp:inline distT="0" distB="0" distL="0" distR="0" wp14:anchorId="300E6DA1" wp14:editId="34907F40">
            <wp:extent cx="5945753" cy="20988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753" cy="2098800"/>
                    </a:xfrm>
                    <a:prstGeom prst="rect">
                      <a:avLst/>
                    </a:prstGeom>
                  </pic:spPr>
                </pic:pic>
              </a:graphicData>
            </a:graphic>
          </wp:inline>
        </w:drawing>
      </w:r>
    </w:p>
    <w:p w14:paraId="7418E239" w14:textId="77777777" w:rsidR="007014B5" w:rsidRPr="007014B5" w:rsidRDefault="007014B5" w:rsidP="007014B5">
      <w:pPr>
        <w:spacing w:after="0" w:line="240" w:lineRule="auto"/>
        <w:contextualSpacing/>
        <w:jc w:val="center"/>
        <w:rPr>
          <w:rFonts w:ascii="Calibri" w:eastAsia="Times New Roman" w:hAnsi="Calibri" w:cs="Times New Roman"/>
          <w:b/>
          <w:bCs/>
          <w:color w:val="365F92"/>
          <w:spacing w:val="-10"/>
          <w:sz w:val="56"/>
          <w:szCs w:val="56"/>
          <w:lang w:val="en-US"/>
        </w:rPr>
      </w:pPr>
      <w:r w:rsidRPr="007014B5">
        <w:rPr>
          <w:rFonts w:ascii="Calibri" w:eastAsia="Times New Roman" w:hAnsi="Calibri" w:cs="Times New Roman"/>
          <w:b/>
          <w:bCs/>
          <w:color w:val="365F92"/>
          <w:spacing w:val="-10"/>
          <w:sz w:val="56"/>
          <w:szCs w:val="56"/>
          <w:lang w:val="en-US"/>
        </w:rPr>
        <w:t>PROJECT SNAPSHOT</w:t>
      </w:r>
    </w:p>
    <w:p w14:paraId="79AB8E0E" w14:textId="60901202" w:rsidR="007014B5" w:rsidRPr="007014B5" w:rsidRDefault="002F5ADC" w:rsidP="007014B5">
      <w:pPr>
        <w:spacing w:after="80" w:line="240" w:lineRule="auto"/>
        <w:jc w:val="center"/>
        <w:rPr>
          <w:rFonts w:ascii="Calibri" w:eastAsia="Times New Roman" w:hAnsi="Calibri" w:cs="Calibri"/>
          <w:b/>
          <w:bCs/>
          <w:color w:val="48C7EC"/>
          <w:sz w:val="32"/>
          <w:szCs w:val="32"/>
        </w:rPr>
      </w:pPr>
      <w:sdt>
        <w:sdtPr>
          <w:rPr>
            <w:rFonts w:ascii="Calibri" w:eastAsia="Times New Roman" w:hAnsi="Calibri" w:cs="Calibri"/>
            <w:b/>
            <w:bCs/>
            <w:color w:val="1B99D6"/>
            <w:sz w:val="40"/>
            <w:szCs w:val="40"/>
          </w:rPr>
          <w:alias w:val="Title"/>
          <w:tag w:val=""/>
          <w:id w:val="-227068707"/>
          <w:placeholder>
            <w:docPart w:val="6D7D7E4CA9F5674B909837CB7FE58DA6"/>
          </w:placeholder>
          <w:dataBinding w:prefixMappings="xmlns:ns0='http://purl.org/dc/elements/1.1/' xmlns:ns1='http://schemas.openxmlformats.org/package/2006/metadata/core-properties' " w:xpath="/ns1:coreProperties[1]/ns0:title[1]" w:storeItemID="{6C3C8BC8-F283-45AE-878A-BAB7291924A1}"/>
          <w:text/>
        </w:sdtPr>
        <w:sdtEndPr/>
        <w:sdtContent>
          <w:r w:rsidR="00580165" w:rsidRPr="00580165">
            <w:rPr>
              <w:rFonts w:ascii="Calibri" w:eastAsia="Times New Roman" w:hAnsi="Calibri" w:cs="Calibri"/>
              <w:b/>
              <w:bCs/>
              <w:color w:val="1B99D6"/>
              <w:sz w:val="40"/>
              <w:szCs w:val="40"/>
            </w:rPr>
            <w:t>Nipissing University NSSE Analysis Project</w:t>
          </w:r>
        </w:sdtContent>
      </w:sdt>
    </w:p>
    <w:p w14:paraId="457597E9" w14:textId="77777777" w:rsidR="007014B5" w:rsidRPr="007014B5" w:rsidRDefault="007014B5" w:rsidP="007014B5">
      <w:pPr>
        <w:spacing w:after="0" w:line="240" w:lineRule="auto"/>
        <w:textAlignment w:val="baseline"/>
        <w:rPr>
          <w:rFonts w:ascii="Segoe UI" w:eastAsia="Times New Roman" w:hAnsi="Segoe UI" w:cs="Segoe UI"/>
          <w:sz w:val="18"/>
          <w:szCs w:val="18"/>
          <w:lang w:eastAsia="en-CA"/>
        </w:rPr>
      </w:pPr>
    </w:p>
    <w:p w14:paraId="5C8E77DA" w14:textId="6944734C" w:rsidR="00693730" w:rsidRPr="00B719B4" w:rsidRDefault="00693730" w:rsidP="007014B5">
      <w:pPr>
        <w:spacing w:after="0" w:line="240" w:lineRule="auto"/>
        <w:textAlignment w:val="baseline"/>
        <w:rPr>
          <w:rFonts w:ascii="Arial" w:eastAsia="Times New Roman" w:hAnsi="Arial" w:cs="Arial"/>
          <w:lang w:val="en-US" w:eastAsia="en-CA"/>
        </w:rPr>
      </w:pPr>
      <w:r>
        <w:rPr>
          <w:rFonts w:ascii="Arial" w:eastAsia="Times New Roman" w:hAnsi="Arial" w:cs="Arial"/>
          <w:b/>
          <w:bCs/>
          <w:color w:val="365F92"/>
          <w:lang w:val="en-US" w:eastAsia="en-CA"/>
        </w:rPr>
        <w:t>Type:</w:t>
      </w:r>
      <w:r w:rsidR="00B719B4">
        <w:rPr>
          <w:rFonts w:ascii="Arial" w:eastAsia="Times New Roman" w:hAnsi="Arial" w:cs="Arial"/>
          <w:b/>
          <w:bCs/>
          <w:color w:val="365F92"/>
          <w:lang w:val="en-US" w:eastAsia="en-CA"/>
        </w:rPr>
        <w:t xml:space="preserve"> </w:t>
      </w:r>
      <w:r w:rsidR="00B719B4" w:rsidRPr="00B719B4">
        <w:rPr>
          <w:rFonts w:ascii="Arial" w:eastAsia="Times New Roman" w:hAnsi="Arial" w:cs="Arial"/>
          <w:lang w:val="en-US" w:eastAsia="en-CA"/>
        </w:rPr>
        <w:t>Rese</w:t>
      </w:r>
      <w:r w:rsidR="00B719B4">
        <w:rPr>
          <w:rFonts w:ascii="Arial" w:eastAsia="Times New Roman" w:hAnsi="Arial" w:cs="Arial"/>
          <w:lang w:val="en-US" w:eastAsia="en-CA"/>
        </w:rPr>
        <w:t>a</w:t>
      </w:r>
      <w:r w:rsidR="00B719B4" w:rsidRPr="00B719B4">
        <w:rPr>
          <w:rFonts w:ascii="Arial" w:eastAsia="Times New Roman" w:hAnsi="Arial" w:cs="Arial"/>
          <w:lang w:val="en-US" w:eastAsia="en-CA"/>
        </w:rPr>
        <w:t>rch</w:t>
      </w:r>
    </w:p>
    <w:p w14:paraId="6E0AB716" w14:textId="0CAA2ABF" w:rsidR="00693730" w:rsidRDefault="00693730" w:rsidP="007014B5">
      <w:pPr>
        <w:spacing w:after="0" w:line="240" w:lineRule="auto"/>
        <w:textAlignment w:val="baseline"/>
        <w:rPr>
          <w:rFonts w:ascii="Arial" w:eastAsia="Times New Roman" w:hAnsi="Arial" w:cs="Arial"/>
          <w:b/>
          <w:bCs/>
          <w:color w:val="365F92"/>
          <w:lang w:val="en-US" w:eastAsia="en-CA"/>
        </w:rPr>
      </w:pPr>
      <w:r>
        <w:rPr>
          <w:rFonts w:ascii="Arial" w:eastAsia="Times New Roman" w:hAnsi="Arial" w:cs="Arial"/>
          <w:b/>
          <w:bCs/>
          <w:color w:val="365F92"/>
          <w:lang w:val="en-US" w:eastAsia="en-CA"/>
        </w:rPr>
        <w:t xml:space="preserve">Project Number: </w:t>
      </w:r>
      <w:r w:rsidR="00A423CC">
        <w:rPr>
          <w:rFonts w:ascii="Arial" w:eastAsia="Times New Roman" w:hAnsi="Arial" w:cs="Arial"/>
          <w:lang w:val="en-US" w:eastAsia="en-CA"/>
        </w:rPr>
        <w:t>20</w:t>
      </w:r>
      <w:r w:rsidR="00D742E1">
        <w:rPr>
          <w:rFonts w:ascii="Arial" w:eastAsia="Times New Roman" w:hAnsi="Arial" w:cs="Arial"/>
          <w:lang w:val="en-US" w:eastAsia="en-CA"/>
        </w:rPr>
        <w:t>21</w:t>
      </w:r>
      <w:r w:rsidR="00A423CC">
        <w:rPr>
          <w:rFonts w:ascii="Arial" w:eastAsia="Times New Roman" w:hAnsi="Arial" w:cs="Arial"/>
          <w:lang w:val="en-US" w:eastAsia="en-CA"/>
        </w:rPr>
        <w:t>-45 or R2145</w:t>
      </w:r>
    </w:p>
    <w:p w14:paraId="77B40FC3" w14:textId="5B26EF3F" w:rsidR="00B719B4" w:rsidRDefault="007014B5" w:rsidP="00B719B4">
      <w:pPr>
        <w:spacing w:after="0" w:line="240" w:lineRule="auto"/>
        <w:textAlignment w:val="baseline"/>
        <w:rPr>
          <w:rFonts w:ascii="Arial" w:eastAsia="Times New Roman" w:hAnsi="Arial" w:cs="Arial"/>
          <w:lang w:val="en-US" w:eastAsia="en-CA"/>
        </w:rPr>
      </w:pPr>
      <w:r w:rsidRPr="007014B5">
        <w:rPr>
          <w:rFonts w:ascii="Arial" w:eastAsia="Times New Roman" w:hAnsi="Arial" w:cs="Arial"/>
          <w:b/>
          <w:bCs/>
          <w:color w:val="365F92"/>
          <w:lang w:val="en-US" w:eastAsia="en-CA"/>
        </w:rPr>
        <w:t>Project Lead:</w:t>
      </w:r>
      <w:bookmarkStart w:id="0" w:name="_Hlk89785965"/>
      <w:r w:rsidRPr="007014B5">
        <w:rPr>
          <w:rFonts w:ascii="Arial" w:eastAsia="Times New Roman" w:hAnsi="Arial" w:cs="Arial"/>
          <w:b/>
          <w:bCs/>
          <w:color w:val="365F92"/>
          <w:lang w:val="en-US" w:eastAsia="en-CA"/>
        </w:rPr>
        <w:t> </w:t>
      </w:r>
      <w:r w:rsidR="00A423CC">
        <w:rPr>
          <w:rFonts w:ascii="Arial" w:eastAsia="Times New Roman" w:hAnsi="Arial" w:cs="Arial"/>
          <w:lang w:val="en-US" w:eastAsia="en-CA"/>
        </w:rPr>
        <w:t>Nipissing University</w:t>
      </w:r>
      <w:r w:rsidRPr="007014B5">
        <w:rPr>
          <w:rFonts w:ascii="Arial" w:eastAsia="Times New Roman" w:hAnsi="Arial" w:cs="Arial"/>
          <w:lang w:val="en-US" w:eastAsia="en-CA"/>
        </w:rPr>
        <w:t xml:space="preserve"> </w:t>
      </w:r>
      <w:bookmarkEnd w:id="0"/>
    </w:p>
    <w:p w14:paraId="5BC96BAB" w14:textId="4D6E8821" w:rsidR="00B719B4" w:rsidRPr="00B719B4" w:rsidRDefault="00544A0D" w:rsidP="00B719B4">
      <w:pPr>
        <w:spacing w:after="0" w:line="240" w:lineRule="auto"/>
        <w:textAlignment w:val="baseline"/>
        <w:rPr>
          <w:rFonts w:ascii="Arial" w:eastAsia="Times New Roman" w:hAnsi="Arial" w:cs="Arial"/>
          <w:lang w:val="en-US" w:eastAsia="en-CA"/>
        </w:rPr>
      </w:pPr>
      <w:r>
        <w:rPr>
          <w:rFonts w:ascii="Arial" w:eastAsia="Times New Roman" w:hAnsi="Arial" w:cs="Arial"/>
          <w:b/>
          <w:bCs/>
          <w:color w:val="365F92"/>
          <w:lang w:val="en-US" w:eastAsia="en-CA"/>
        </w:rPr>
        <w:t>Principal Investigators</w:t>
      </w:r>
      <w:r w:rsidR="007014B5" w:rsidRPr="01FF5CB1">
        <w:rPr>
          <w:rFonts w:ascii="Arial" w:eastAsia="Times New Roman" w:hAnsi="Arial" w:cs="Arial"/>
          <w:b/>
          <w:bCs/>
          <w:color w:val="365F92"/>
          <w:lang w:val="en-US" w:eastAsia="en-CA"/>
        </w:rPr>
        <w:t>: </w:t>
      </w:r>
      <w:r w:rsidR="00B719B4" w:rsidRPr="00B719B4">
        <w:rPr>
          <w:rFonts w:ascii="Arial" w:eastAsia="Times New Roman" w:hAnsi="Arial" w:cs="Arial"/>
          <w:lang w:val="en-US" w:eastAsia="en-CA"/>
        </w:rPr>
        <w:t>Heather Daoust (Institutional Analyst)</w:t>
      </w:r>
      <w:r w:rsidR="00464430">
        <w:rPr>
          <w:rFonts w:ascii="Arial" w:eastAsia="Times New Roman" w:hAnsi="Arial" w:cs="Arial"/>
          <w:lang w:val="en-US" w:eastAsia="en-CA"/>
        </w:rPr>
        <w:t>,</w:t>
      </w:r>
      <w:r w:rsidR="00B719B4" w:rsidRPr="00B719B4">
        <w:rPr>
          <w:rFonts w:ascii="Arial" w:eastAsia="Times New Roman" w:hAnsi="Arial" w:cs="Arial"/>
          <w:lang w:val="en-US" w:eastAsia="en-CA"/>
        </w:rPr>
        <w:t xml:space="preserve"> Stephen Tedesco (Director, Institutional Planning and Analysis)</w:t>
      </w:r>
    </w:p>
    <w:p w14:paraId="160CA1F6" w14:textId="7FB52AE9" w:rsidR="007014B5" w:rsidRPr="007014B5" w:rsidRDefault="007014B5" w:rsidP="01FF5CB1">
      <w:pPr>
        <w:spacing w:after="0" w:line="240" w:lineRule="auto"/>
        <w:textAlignment w:val="baseline"/>
        <w:rPr>
          <w:rFonts w:ascii="Segoe UI" w:eastAsia="Times New Roman" w:hAnsi="Segoe UI" w:cs="Segoe UI"/>
          <w:sz w:val="18"/>
          <w:szCs w:val="18"/>
          <w:lang w:eastAsia="en-CA"/>
        </w:rPr>
      </w:pPr>
    </w:p>
    <w:p w14:paraId="7DAE22AB" w14:textId="77777777" w:rsidR="007014B5" w:rsidRPr="007014B5" w:rsidRDefault="007014B5" w:rsidP="007014B5">
      <w:pPr>
        <w:keepNext/>
        <w:keepLines/>
        <w:spacing w:before="240" w:after="0" w:line="240" w:lineRule="auto"/>
        <w:outlineLvl w:val="0"/>
        <w:rPr>
          <w:rFonts w:ascii="Calibri" w:eastAsia="Times New Roman" w:hAnsi="Calibri" w:cs="Times New Roman"/>
          <w:b/>
          <w:bCs/>
          <w:color w:val="365F92"/>
          <w:sz w:val="32"/>
          <w:szCs w:val="32"/>
        </w:rPr>
      </w:pPr>
      <w:r w:rsidRPr="007014B5">
        <w:rPr>
          <w:rFonts w:ascii="Calibri" w:eastAsia="Times New Roman" w:hAnsi="Calibri" w:cs="Times New Roman"/>
          <w:b/>
          <w:bCs/>
          <w:color w:val="365F92"/>
          <w:sz w:val="32"/>
          <w:szCs w:val="32"/>
        </w:rPr>
        <w:t>Project Summary</w:t>
      </w:r>
    </w:p>
    <w:p w14:paraId="68A1508F" w14:textId="77777777" w:rsidR="00B71D6D" w:rsidRPr="003D3C17" w:rsidRDefault="00B71D6D" w:rsidP="005E0D83">
      <w:pPr>
        <w:pStyle w:val="BodyText"/>
        <w:spacing w:before="80"/>
        <w:ind w:right="136"/>
        <w:rPr>
          <w:rFonts w:ascii="Arial" w:eastAsia="Times New Roman" w:hAnsi="Arial" w:cs="Arial"/>
          <w:color w:val="000000" w:themeColor="text1"/>
          <w:sz w:val="22"/>
          <w:szCs w:val="22"/>
          <w:lang w:eastAsia="en-CA"/>
        </w:rPr>
      </w:pPr>
      <w:bookmarkStart w:id="1" w:name="_Hlk89785981"/>
      <w:r w:rsidRPr="003D3C17">
        <w:rPr>
          <w:rFonts w:ascii="Arial" w:eastAsia="Times New Roman" w:hAnsi="Arial" w:cs="Arial"/>
          <w:color w:val="000000" w:themeColor="text1"/>
          <w:sz w:val="22"/>
          <w:szCs w:val="22"/>
          <w:lang w:eastAsia="en-CA"/>
        </w:rPr>
        <w:t>Through this project, Nipissing University will attempt to align – where possible – fields within the NSSE across the 2006, 2008, 2011, 2014, 2017 and 2020 iterations of the survey. The intent will be to pool observations across years to produce a large enough sample – across years – to analyze differences amongst students that started their post-secondary education at Nipissing with those that started their post-secondary education elsewhere.</w:t>
      </w:r>
    </w:p>
    <w:p w14:paraId="0F9C7B75" w14:textId="77777777" w:rsidR="00B71D6D" w:rsidRDefault="00B71D6D" w:rsidP="00B71D6D">
      <w:pPr>
        <w:pStyle w:val="BodyText"/>
        <w:rPr>
          <w:sz w:val="22"/>
        </w:rPr>
      </w:pPr>
    </w:p>
    <w:p w14:paraId="3E33E310" w14:textId="498AD61E" w:rsidR="00B71D6D" w:rsidRPr="00FE07C0" w:rsidRDefault="00B71D6D" w:rsidP="00FE07C0">
      <w:pPr>
        <w:pStyle w:val="Heading3"/>
        <w:ind w:left="0"/>
        <w:rPr>
          <w:rFonts w:eastAsia="Times New Roman" w:cs="Times New Roman"/>
          <w:color w:val="365F92"/>
          <w:sz w:val="32"/>
          <w:szCs w:val="32"/>
          <w:lang w:val="en-CA"/>
        </w:rPr>
      </w:pPr>
      <w:r w:rsidRPr="00FE07C0">
        <w:rPr>
          <w:rFonts w:eastAsia="Times New Roman" w:cs="Times New Roman"/>
          <w:color w:val="365F92"/>
          <w:sz w:val="32"/>
          <w:szCs w:val="32"/>
          <w:lang w:val="en-CA"/>
        </w:rPr>
        <w:t>Project Rationale</w:t>
      </w:r>
    </w:p>
    <w:p w14:paraId="43BA7A59" w14:textId="0F148F7E" w:rsidR="00B71D6D" w:rsidRPr="00FE07C0" w:rsidRDefault="00B71D6D" w:rsidP="00FE07C0">
      <w:pPr>
        <w:pStyle w:val="BodyText"/>
        <w:spacing w:before="80"/>
        <w:ind w:right="136"/>
        <w:rPr>
          <w:rFonts w:ascii="Arial" w:eastAsia="Times New Roman" w:hAnsi="Arial" w:cs="Arial"/>
          <w:color w:val="000000" w:themeColor="text1"/>
          <w:sz w:val="22"/>
          <w:szCs w:val="22"/>
          <w:lang w:eastAsia="en-CA"/>
        </w:rPr>
      </w:pPr>
      <w:r w:rsidRPr="00FE07C0">
        <w:rPr>
          <w:rFonts w:ascii="Arial" w:eastAsia="Times New Roman" w:hAnsi="Arial" w:cs="Arial"/>
          <w:color w:val="000000" w:themeColor="text1"/>
          <w:sz w:val="22"/>
          <w:szCs w:val="22"/>
          <w:lang w:eastAsia="en-CA"/>
        </w:rPr>
        <w:t xml:space="preserve">As was alluded to in the project overview, the NSSE had a significant overhaul between the 2014 and 2011 iterations. </w:t>
      </w:r>
      <w:proofErr w:type="gramStart"/>
      <w:r w:rsidRPr="00FE07C0">
        <w:rPr>
          <w:rFonts w:ascii="Arial" w:eastAsia="Times New Roman" w:hAnsi="Arial" w:cs="Arial"/>
          <w:color w:val="000000" w:themeColor="text1"/>
          <w:sz w:val="22"/>
          <w:szCs w:val="22"/>
          <w:lang w:eastAsia="en-CA"/>
        </w:rPr>
        <w:t>That being said, aligning</w:t>
      </w:r>
      <w:proofErr w:type="gramEnd"/>
      <w:r w:rsidRPr="00FE07C0">
        <w:rPr>
          <w:rFonts w:ascii="Arial" w:eastAsia="Times New Roman" w:hAnsi="Arial" w:cs="Arial"/>
          <w:color w:val="000000" w:themeColor="text1"/>
          <w:sz w:val="22"/>
          <w:szCs w:val="22"/>
          <w:lang w:eastAsia="en-CA"/>
        </w:rPr>
        <w:t xml:space="preserve"> NSSE 2006 through 2011 was a relatively simple task, as was the alignment of NSSE 2020 through NSSE 2014. The lion</w:t>
      </w:r>
      <w:r w:rsidR="00FE07C0">
        <w:rPr>
          <w:rFonts w:ascii="Arial" w:eastAsia="Times New Roman" w:hAnsi="Arial" w:cs="Arial"/>
          <w:color w:val="000000" w:themeColor="text1"/>
          <w:sz w:val="22"/>
          <w:szCs w:val="22"/>
          <w:lang w:eastAsia="en-CA"/>
        </w:rPr>
        <w:t xml:space="preserve"> </w:t>
      </w:r>
      <w:proofErr w:type="gramStart"/>
      <w:r w:rsidRPr="00FE07C0">
        <w:rPr>
          <w:rFonts w:ascii="Arial" w:eastAsia="Times New Roman" w:hAnsi="Arial" w:cs="Arial"/>
          <w:color w:val="000000" w:themeColor="text1"/>
          <w:sz w:val="22"/>
          <w:szCs w:val="22"/>
          <w:lang w:eastAsia="en-CA"/>
        </w:rPr>
        <w:t>share</w:t>
      </w:r>
      <w:proofErr w:type="gramEnd"/>
      <w:r w:rsidRPr="00FE07C0">
        <w:rPr>
          <w:rFonts w:ascii="Arial" w:eastAsia="Times New Roman" w:hAnsi="Arial" w:cs="Arial"/>
          <w:color w:val="000000" w:themeColor="text1"/>
          <w:sz w:val="22"/>
          <w:szCs w:val="22"/>
          <w:lang w:eastAsia="en-CA"/>
        </w:rPr>
        <w:t xml:space="preserve"> of the work that this project aimed to accomplish was harmonizing NSSE 2014 with NSSE 2011.</w:t>
      </w:r>
    </w:p>
    <w:p w14:paraId="63F48E02" w14:textId="77777777" w:rsidR="00B71D6D" w:rsidRDefault="00B71D6D" w:rsidP="00B71D6D">
      <w:pPr>
        <w:pStyle w:val="BodyText"/>
        <w:rPr>
          <w:sz w:val="22"/>
        </w:rPr>
      </w:pPr>
    </w:p>
    <w:p w14:paraId="3303A67F" w14:textId="3A1856CD" w:rsidR="00B71D6D" w:rsidRPr="00494242" w:rsidRDefault="00B71D6D" w:rsidP="00922FCA">
      <w:pPr>
        <w:pStyle w:val="Heading3"/>
        <w:ind w:left="0"/>
        <w:rPr>
          <w:rFonts w:eastAsia="Times New Roman" w:cs="Times New Roman"/>
          <w:color w:val="365F92"/>
          <w:sz w:val="32"/>
          <w:szCs w:val="32"/>
          <w:lang w:val="en-CA"/>
        </w:rPr>
      </w:pPr>
      <w:r w:rsidRPr="00494242">
        <w:rPr>
          <w:rFonts w:eastAsia="Times New Roman" w:cs="Times New Roman"/>
          <w:color w:val="365F92"/>
          <w:sz w:val="32"/>
          <w:szCs w:val="32"/>
          <w:lang w:val="en-CA"/>
        </w:rPr>
        <w:t>Methods</w:t>
      </w:r>
    </w:p>
    <w:p w14:paraId="402216F2" w14:textId="77777777" w:rsidR="00B71D6D" w:rsidRPr="00922FCA" w:rsidRDefault="00B71D6D" w:rsidP="00922FCA">
      <w:pPr>
        <w:pStyle w:val="BodyText"/>
        <w:spacing w:before="80"/>
        <w:ind w:right="136"/>
        <w:rPr>
          <w:rFonts w:ascii="Arial" w:eastAsia="Times New Roman" w:hAnsi="Arial" w:cs="Arial"/>
          <w:color w:val="000000" w:themeColor="text1"/>
          <w:sz w:val="22"/>
          <w:szCs w:val="22"/>
          <w:lang w:eastAsia="en-CA"/>
        </w:rPr>
      </w:pPr>
      <w:r w:rsidRPr="00922FCA">
        <w:rPr>
          <w:rFonts w:ascii="Arial" w:eastAsia="Times New Roman" w:hAnsi="Arial" w:cs="Arial"/>
          <w:color w:val="000000" w:themeColor="text1"/>
          <w:sz w:val="22"/>
          <w:szCs w:val="22"/>
          <w:lang w:eastAsia="en-CA"/>
        </w:rPr>
        <w:t>Due to the relatively small size of Nipissing University, it was decided that once the NSSE surveys were harmonized then we could pool observations across years to analyze differences amongst students that started their post-secondary education at Nipissing with those that started their post-secondary education elsewhere.</w:t>
      </w:r>
    </w:p>
    <w:p w14:paraId="76D728DD" w14:textId="77777777" w:rsidR="00B71D6D" w:rsidRPr="00922FCA" w:rsidRDefault="00B71D6D" w:rsidP="00B71D6D">
      <w:pPr>
        <w:pStyle w:val="BodyText"/>
        <w:rPr>
          <w:rFonts w:ascii="Arial" w:eastAsia="Times New Roman" w:hAnsi="Arial" w:cs="Arial"/>
          <w:color w:val="000000" w:themeColor="text1"/>
          <w:sz w:val="22"/>
          <w:szCs w:val="22"/>
          <w:lang w:eastAsia="en-CA"/>
        </w:rPr>
      </w:pPr>
    </w:p>
    <w:p w14:paraId="37479627" w14:textId="77777777" w:rsidR="00B71D6D" w:rsidRPr="00922FCA" w:rsidRDefault="00B71D6D" w:rsidP="00922FCA">
      <w:pPr>
        <w:pStyle w:val="BodyText"/>
        <w:ind w:right="172"/>
        <w:jc w:val="both"/>
        <w:rPr>
          <w:rFonts w:ascii="Arial" w:eastAsia="Times New Roman" w:hAnsi="Arial" w:cs="Arial"/>
          <w:color w:val="000000" w:themeColor="text1"/>
          <w:sz w:val="22"/>
          <w:szCs w:val="22"/>
          <w:lang w:eastAsia="en-CA"/>
        </w:rPr>
      </w:pPr>
      <w:r w:rsidRPr="00922FCA">
        <w:rPr>
          <w:rFonts w:ascii="Arial" w:eastAsia="Times New Roman" w:hAnsi="Arial" w:cs="Arial"/>
          <w:color w:val="000000" w:themeColor="text1"/>
          <w:sz w:val="22"/>
          <w:szCs w:val="22"/>
          <w:lang w:eastAsia="en-CA"/>
        </w:rPr>
        <w:t xml:space="preserve">Group differences were </w:t>
      </w:r>
      <w:proofErr w:type="spellStart"/>
      <w:r w:rsidRPr="00922FCA">
        <w:rPr>
          <w:rFonts w:ascii="Arial" w:eastAsia="Times New Roman" w:hAnsi="Arial" w:cs="Arial"/>
          <w:color w:val="000000" w:themeColor="text1"/>
          <w:sz w:val="22"/>
          <w:szCs w:val="22"/>
          <w:lang w:eastAsia="en-CA"/>
        </w:rPr>
        <w:t>analysed</w:t>
      </w:r>
      <w:proofErr w:type="spellEnd"/>
      <w:r w:rsidRPr="00922FCA">
        <w:rPr>
          <w:rFonts w:ascii="Arial" w:eastAsia="Times New Roman" w:hAnsi="Arial" w:cs="Arial"/>
          <w:color w:val="000000" w:themeColor="text1"/>
          <w:sz w:val="22"/>
          <w:szCs w:val="22"/>
          <w:lang w:eastAsia="en-CA"/>
        </w:rPr>
        <w:t xml:space="preserve"> for significance at the α = 0.05 level using an independent t-test for equality of means. </w:t>
      </w:r>
      <w:proofErr w:type="spellStart"/>
      <w:r w:rsidRPr="00922FCA">
        <w:rPr>
          <w:rFonts w:ascii="Arial" w:eastAsia="Times New Roman" w:hAnsi="Arial" w:cs="Arial"/>
          <w:color w:val="000000" w:themeColor="text1"/>
          <w:sz w:val="22"/>
          <w:szCs w:val="22"/>
          <w:lang w:eastAsia="en-CA"/>
        </w:rPr>
        <w:t>Levene’s</w:t>
      </w:r>
      <w:proofErr w:type="spellEnd"/>
      <w:r w:rsidRPr="00922FCA">
        <w:rPr>
          <w:rFonts w:ascii="Arial" w:eastAsia="Times New Roman" w:hAnsi="Arial" w:cs="Arial"/>
          <w:color w:val="000000" w:themeColor="text1"/>
          <w:sz w:val="22"/>
          <w:szCs w:val="22"/>
          <w:lang w:eastAsia="en-CA"/>
        </w:rPr>
        <w:t xml:space="preserve"> test for equality of variance was completed for each t-test and our results outline </w:t>
      </w:r>
      <w:proofErr w:type="gramStart"/>
      <w:r w:rsidRPr="00922FCA">
        <w:rPr>
          <w:rFonts w:ascii="Arial" w:eastAsia="Times New Roman" w:hAnsi="Arial" w:cs="Arial"/>
          <w:color w:val="000000" w:themeColor="text1"/>
          <w:sz w:val="22"/>
          <w:szCs w:val="22"/>
          <w:lang w:eastAsia="en-CA"/>
        </w:rPr>
        <w:t>whether or not</w:t>
      </w:r>
      <w:proofErr w:type="gramEnd"/>
      <w:r w:rsidRPr="00922FCA">
        <w:rPr>
          <w:rFonts w:ascii="Arial" w:eastAsia="Times New Roman" w:hAnsi="Arial" w:cs="Arial"/>
          <w:color w:val="000000" w:themeColor="text1"/>
          <w:sz w:val="22"/>
          <w:szCs w:val="22"/>
          <w:lang w:eastAsia="en-CA"/>
        </w:rPr>
        <w:t xml:space="preserve"> equal variances were assumed.</w:t>
      </w:r>
    </w:p>
    <w:p w14:paraId="50583759" w14:textId="77777777" w:rsidR="00B71D6D" w:rsidRPr="00922FCA" w:rsidRDefault="00B71D6D" w:rsidP="00B71D6D">
      <w:pPr>
        <w:pStyle w:val="BodyText"/>
        <w:rPr>
          <w:rFonts w:ascii="Arial" w:eastAsia="Times New Roman" w:hAnsi="Arial" w:cs="Arial"/>
          <w:color w:val="000000" w:themeColor="text1"/>
          <w:sz w:val="22"/>
          <w:szCs w:val="22"/>
          <w:lang w:eastAsia="en-CA"/>
        </w:rPr>
      </w:pPr>
    </w:p>
    <w:p w14:paraId="3A446F83" w14:textId="34022966" w:rsidR="00B71D6D" w:rsidRPr="006C7C16" w:rsidRDefault="00B71D6D" w:rsidP="00B71D6D">
      <w:pPr>
        <w:pStyle w:val="Heading3"/>
        <w:spacing w:before="1"/>
        <w:rPr>
          <w:lang w:val="en-CA"/>
        </w:rPr>
      </w:pPr>
      <w:r w:rsidRPr="00494242">
        <w:rPr>
          <w:rFonts w:eastAsia="Times New Roman" w:cs="Times New Roman"/>
          <w:color w:val="365F92"/>
          <w:sz w:val="32"/>
          <w:szCs w:val="32"/>
          <w:lang w:val="en-CA"/>
        </w:rPr>
        <w:lastRenderedPageBreak/>
        <w:t>Describe any limitations</w:t>
      </w:r>
    </w:p>
    <w:p w14:paraId="57D4F4E8" w14:textId="77777777" w:rsidR="00494242" w:rsidRDefault="00494242" w:rsidP="00B71D6D">
      <w:pPr>
        <w:pStyle w:val="BodyText"/>
        <w:ind w:left="140"/>
        <w:rPr>
          <w:rFonts w:ascii="Arial" w:eastAsia="Times New Roman" w:hAnsi="Arial" w:cs="Arial"/>
          <w:color w:val="000000" w:themeColor="text1"/>
          <w:sz w:val="22"/>
          <w:szCs w:val="22"/>
          <w:lang w:eastAsia="en-CA"/>
        </w:rPr>
      </w:pPr>
    </w:p>
    <w:p w14:paraId="6E76C07D" w14:textId="25480AD9" w:rsidR="00B71D6D" w:rsidRPr="00494242" w:rsidRDefault="00B71D6D" w:rsidP="00B71D6D">
      <w:pPr>
        <w:pStyle w:val="BodyText"/>
        <w:ind w:left="140"/>
        <w:rPr>
          <w:rFonts w:ascii="Arial" w:eastAsia="Times New Roman" w:hAnsi="Arial" w:cs="Arial"/>
          <w:color w:val="000000" w:themeColor="text1"/>
          <w:sz w:val="22"/>
          <w:szCs w:val="22"/>
          <w:lang w:eastAsia="en-CA"/>
        </w:rPr>
      </w:pPr>
      <w:r w:rsidRPr="00494242">
        <w:rPr>
          <w:rFonts w:ascii="Arial" w:eastAsia="Times New Roman" w:hAnsi="Arial" w:cs="Arial"/>
          <w:color w:val="000000" w:themeColor="text1"/>
          <w:sz w:val="22"/>
          <w:szCs w:val="22"/>
          <w:lang w:eastAsia="en-CA"/>
        </w:rPr>
        <w:t>Limitations</w:t>
      </w:r>
    </w:p>
    <w:p w14:paraId="5CC37BB0" w14:textId="77777777" w:rsidR="00B71D6D" w:rsidRPr="00494242" w:rsidRDefault="00B71D6D" w:rsidP="00B71D6D">
      <w:pPr>
        <w:pStyle w:val="BodyText"/>
        <w:ind w:left="140" w:right="23"/>
        <w:rPr>
          <w:rFonts w:ascii="Arial" w:eastAsia="Times New Roman" w:hAnsi="Arial" w:cs="Arial"/>
          <w:color w:val="000000" w:themeColor="text1"/>
          <w:sz w:val="22"/>
          <w:szCs w:val="22"/>
          <w:lang w:eastAsia="en-CA"/>
        </w:rPr>
      </w:pPr>
      <w:r w:rsidRPr="00494242">
        <w:rPr>
          <w:rFonts w:ascii="Arial" w:eastAsia="Times New Roman" w:hAnsi="Arial" w:cs="Arial"/>
          <w:color w:val="000000" w:themeColor="text1"/>
          <w:sz w:val="22"/>
          <w:szCs w:val="22"/>
          <w:lang w:eastAsia="en-CA"/>
        </w:rPr>
        <w:t>The alignment of the six versions of the NSSE instrument did introduce some subjectivity in instances where questions did not have a direct alignment.</w:t>
      </w:r>
    </w:p>
    <w:p w14:paraId="526CE794" w14:textId="77777777" w:rsidR="00B71D6D" w:rsidRPr="00494242" w:rsidRDefault="00B71D6D" w:rsidP="00B71D6D">
      <w:pPr>
        <w:pStyle w:val="BodyText"/>
        <w:rPr>
          <w:rFonts w:ascii="Arial" w:eastAsia="Times New Roman" w:hAnsi="Arial" w:cs="Arial"/>
          <w:color w:val="000000" w:themeColor="text1"/>
          <w:sz w:val="22"/>
          <w:szCs w:val="22"/>
          <w:lang w:eastAsia="en-CA"/>
        </w:rPr>
      </w:pPr>
    </w:p>
    <w:p w14:paraId="36FCEE09" w14:textId="77777777" w:rsidR="00B71D6D" w:rsidRPr="00494242" w:rsidRDefault="00B71D6D" w:rsidP="00B71D6D">
      <w:pPr>
        <w:pStyle w:val="BodyText"/>
        <w:ind w:left="140"/>
        <w:rPr>
          <w:rFonts w:ascii="Arial" w:eastAsia="Times New Roman" w:hAnsi="Arial" w:cs="Arial"/>
          <w:color w:val="000000" w:themeColor="text1"/>
          <w:sz w:val="22"/>
          <w:szCs w:val="22"/>
          <w:lang w:eastAsia="en-CA"/>
        </w:rPr>
      </w:pPr>
      <w:r w:rsidRPr="00494242">
        <w:rPr>
          <w:rFonts w:ascii="Arial" w:eastAsia="Times New Roman" w:hAnsi="Arial" w:cs="Arial"/>
          <w:color w:val="000000" w:themeColor="text1"/>
          <w:sz w:val="22"/>
          <w:szCs w:val="22"/>
          <w:lang w:eastAsia="en-CA"/>
        </w:rPr>
        <w:t xml:space="preserve">Another limitation specific to our NSSE data files was that there were three instances where fields aligned within the Canadian NSSE </w:t>
      </w:r>
      <w:proofErr w:type="gramStart"/>
      <w:r w:rsidRPr="00494242">
        <w:rPr>
          <w:rFonts w:ascii="Arial" w:eastAsia="Times New Roman" w:hAnsi="Arial" w:cs="Arial"/>
          <w:color w:val="000000" w:themeColor="text1"/>
          <w:sz w:val="22"/>
          <w:szCs w:val="22"/>
          <w:lang w:eastAsia="en-CA"/>
        </w:rPr>
        <w:t>codebooks</w:t>
      </w:r>
      <w:proofErr w:type="gramEnd"/>
      <w:r w:rsidRPr="00494242">
        <w:rPr>
          <w:rFonts w:ascii="Arial" w:eastAsia="Times New Roman" w:hAnsi="Arial" w:cs="Arial"/>
          <w:color w:val="000000" w:themeColor="text1"/>
          <w:sz w:val="22"/>
          <w:szCs w:val="22"/>
          <w:lang w:eastAsia="en-CA"/>
        </w:rPr>
        <w:t xml:space="preserve"> but responses were not included in the Nipissing data file(s) for a given year. This resulted in our sample size being restricted for these fields.</w:t>
      </w:r>
    </w:p>
    <w:p w14:paraId="03693C3F" w14:textId="77777777" w:rsidR="00B71D6D" w:rsidRPr="00B66BC7" w:rsidRDefault="00B71D6D" w:rsidP="00B71D6D">
      <w:pPr>
        <w:pStyle w:val="BodyText"/>
        <w:spacing w:before="90"/>
        <w:ind w:left="140"/>
        <w:rPr>
          <w:rFonts w:ascii="Arial" w:eastAsia="Times New Roman" w:hAnsi="Arial" w:cs="Arial"/>
          <w:color w:val="000000" w:themeColor="text1"/>
          <w:sz w:val="22"/>
          <w:szCs w:val="22"/>
          <w:lang w:eastAsia="en-CA"/>
        </w:rPr>
      </w:pPr>
      <w:r w:rsidRPr="00B66BC7">
        <w:rPr>
          <w:rFonts w:ascii="Arial" w:eastAsia="Times New Roman" w:hAnsi="Arial" w:cs="Arial"/>
          <w:color w:val="000000" w:themeColor="text1"/>
          <w:sz w:val="22"/>
          <w:szCs w:val="22"/>
          <w:lang w:eastAsia="en-CA"/>
        </w:rPr>
        <w:t>It should be noted (and is outlined in detail in the NSSE Version Alignment file), that there are some circumstances that even deriving/recoding values will not achieve perfect alignment through all iterations of NSSE. Here are some examples:</w:t>
      </w:r>
    </w:p>
    <w:p w14:paraId="7738F441" w14:textId="77777777" w:rsidR="00B71D6D" w:rsidRPr="00B66BC7" w:rsidRDefault="00B71D6D" w:rsidP="00B71D6D">
      <w:pPr>
        <w:pStyle w:val="ListParagraph"/>
        <w:numPr>
          <w:ilvl w:val="0"/>
          <w:numId w:val="2"/>
        </w:numPr>
        <w:tabs>
          <w:tab w:val="left" w:pos="429"/>
        </w:tabs>
        <w:ind w:right="436" w:firstLine="0"/>
        <w:rPr>
          <w:rFonts w:ascii="Arial" w:eastAsia="Times New Roman" w:hAnsi="Arial" w:cs="Arial"/>
          <w:color w:val="000000" w:themeColor="text1"/>
          <w:lang w:eastAsia="en-CA"/>
        </w:rPr>
      </w:pPr>
      <w:r w:rsidRPr="00B66BC7">
        <w:rPr>
          <w:rFonts w:ascii="Arial" w:eastAsia="Times New Roman" w:hAnsi="Arial" w:cs="Arial"/>
          <w:color w:val="000000" w:themeColor="text1"/>
          <w:lang w:eastAsia="en-CA"/>
        </w:rPr>
        <w:t>Questions regarding number of papers and length (Q7); page count categories changed and overlapped previous categories.</w:t>
      </w:r>
    </w:p>
    <w:p w14:paraId="5EFF6ABB" w14:textId="77777777" w:rsidR="00B71D6D" w:rsidRPr="00B66BC7" w:rsidRDefault="00B71D6D" w:rsidP="00B71D6D">
      <w:pPr>
        <w:pStyle w:val="ListParagraph"/>
        <w:numPr>
          <w:ilvl w:val="0"/>
          <w:numId w:val="2"/>
        </w:numPr>
        <w:tabs>
          <w:tab w:val="left" w:pos="429"/>
        </w:tabs>
        <w:ind w:right="465" w:firstLine="0"/>
        <w:rPr>
          <w:rFonts w:ascii="Arial" w:eastAsia="Times New Roman" w:hAnsi="Arial" w:cs="Arial"/>
          <w:color w:val="000000" w:themeColor="text1"/>
          <w:lang w:eastAsia="en-CA"/>
        </w:rPr>
      </w:pPr>
      <w:r w:rsidRPr="00B66BC7">
        <w:rPr>
          <w:rFonts w:ascii="Arial" w:eastAsia="Times New Roman" w:hAnsi="Arial" w:cs="Arial"/>
          <w:color w:val="000000" w:themeColor="text1"/>
          <w:lang w:eastAsia="en-CA"/>
        </w:rPr>
        <w:t xml:space="preserve">Questions regarding challenge to do best work (Q10); one significant </w:t>
      </w:r>
      <w:proofErr w:type="spellStart"/>
      <w:r w:rsidRPr="00B66BC7">
        <w:rPr>
          <w:rFonts w:ascii="Arial" w:eastAsia="Times New Roman" w:hAnsi="Arial" w:cs="Arial"/>
          <w:color w:val="000000" w:themeColor="text1"/>
          <w:lang w:eastAsia="en-CA"/>
        </w:rPr>
        <w:t>likert</w:t>
      </w:r>
      <w:proofErr w:type="spellEnd"/>
      <w:r w:rsidRPr="00B66BC7">
        <w:rPr>
          <w:rFonts w:ascii="Arial" w:eastAsia="Times New Roman" w:hAnsi="Arial" w:cs="Arial"/>
          <w:color w:val="000000" w:themeColor="text1"/>
          <w:lang w:eastAsia="en-CA"/>
        </w:rPr>
        <w:t xml:space="preserve"> scale value change restricts direct comparison of results (e.g., NSSE 2014: 1 = Not at all; NSSE 2011: 1 = Very little).</w:t>
      </w:r>
    </w:p>
    <w:p w14:paraId="07AE715D" w14:textId="77777777" w:rsidR="00B71D6D" w:rsidRPr="00B66BC7" w:rsidRDefault="00B71D6D" w:rsidP="00B71D6D">
      <w:pPr>
        <w:pStyle w:val="ListParagraph"/>
        <w:numPr>
          <w:ilvl w:val="0"/>
          <w:numId w:val="2"/>
        </w:numPr>
        <w:tabs>
          <w:tab w:val="left" w:pos="429"/>
        </w:tabs>
        <w:ind w:left="428"/>
        <w:rPr>
          <w:rFonts w:ascii="Arial" w:eastAsia="Times New Roman" w:hAnsi="Arial" w:cs="Arial"/>
          <w:color w:val="000000" w:themeColor="text1"/>
          <w:lang w:eastAsia="en-CA"/>
        </w:rPr>
      </w:pPr>
      <w:r w:rsidRPr="00B66BC7">
        <w:rPr>
          <w:rFonts w:ascii="Arial" w:eastAsia="Times New Roman" w:hAnsi="Arial" w:cs="Arial"/>
          <w:color w:val="000000" w:themeColor="text1"/>
          <w:lang w:eastAsia="en-CA"/>
        </w:rPr>
        <w:t xml:space="preserve">Questions regarding Quality Interactions (Q13); descriptors on </w:t>
      </w:r>
      <w:proofErr w:type="spellStart"/>
      <w:r w:rsidRPr="00B66BC7">
        <w:rPr>
          <w:rFonts w:ascii="Arial" w:eastAsia="Times New Roman" w:hAnsi="Arial" w:cs="Arial"/>
          <w:color w:val="000000" w:themeColor="text1"/>
          <w:lang w:eastAsia="en-CA"/>
        </w:rPr>
        <w:t>likert</w:t>
      </w:r>
      <w:proofErr w:type="spellEnd"/>
      <w:r w:rsidRPr="00B66BC7">
        <w:rPr>
          <w:rFonts w:ascii="Arial" w:eastAsia="Times New Roman" w:hAnsi="Arial" w:cs="Arial"/>
          <w:color w:val="000000" w:themeColor="text1"/>
          <w:lang w:eastAsia="en-CA"/>
        </w:rPr>
        <w:t xml:space="preserve"> scale changed entirely.</w:t>
      </w:r>
    </w:p>
    <w:p w14:paraId="4A3F9FB4" w14:textId="77777777" w:rsidR="00B71D6D" w:rsidRPr="00B66BC7" w:rsidRDefault="00B71D6D" w:rsidP="00B71D6D">
      <w:pPr>
        <w:pStyle w:val="BodyText"/>
        <w:rPr>
          <w:rFonts w:ascii="Arial" w:eastAsia="Times New Roman" w:hAnsi="Arial" w:cs="Arial"/>
          <w:color w:val="000000" w:themeColor="text1"/>
          <w:sz w:val="22"/>
          <w:szCs w:val="22"/>
          <w:lang w:eastAsia="en-CA"/>
        </w:rPr>
      </w:pPr>
    </w:p>
    <w:p w14:paraId="65E9EB35" w14:textId="4F0E012A" w:rsidR="00B71D6D" w:rsidRPr="00464430" w:rsidRDefault="00B71D6D" w:rsidP="00464430">
      <w:pPr>
        <w:pStyle w:val="Heading3"/>
        <w:spacing w:before="1"/>
        <w:rPr>
          <w:rFonts w:eastAsia="Times New Roman" w:cs="Times New Roman"/>
          <w:color w:val="365F92"/>
          <w:sz w:val="32"/>
          <w:szCs w:val="32"/>
          <w:lang w:val="en-CA"/>
        </w:rPr>
      </w:pPr>
      <w:r w:rsidRPr="00464430">
        <w:rPr>
          <w:rFonts w:eastAsia="Times New Roman" w:cs="Times New Roman"/>
          <w:color w:val="365F92"/>
          <w:sz w:val="32"/>
          <w:szCs w:val="32"/>
          <w:lang w:val="en-CA"/>
        </w:rPr>
        <w:t>Research Findings</w:t>
      </w:r>
    </w:p>
    <w:p w14:paraId="790303A7" w14:textId="77777777" w:rsidR="00B71D6D" w:rsidRPr="00464430" w:rsidRDefault="00B71D6D" w:rsidP="00B71D6D">
      <w:pPr>
        <w:pStyle w:val="BodyText"/>
        <w:spacing w:before="80"/>
        <w:ind w:left="140"/>
        <w:rPr>
          <w:rFonts w:ascii="Arial" w:eastAsia="Times New Roman" w:hAnsi="Arial" w:cs="Arial"/>
          <w:color w:val="000000" w:themeColor="text1"/>
          <w:sz w:val="22"/>
          <w:szCs w:val="22"/>
          <w:lang w:eastAsia="en-CA"/>
        </w:rPr>
      </w:pPr>
      <w:r w:rsidRPr="00464430">
        <w:rPr>
          <w:rFonts w:ascii="Arial" w:eastAsia="Times New Roman" w:hAnsi="Arial" w:cs="Arial"/>
          <w:color w:val="000000" w:themeColor="text1"/>
          <w:sz w:val="22"/>
          <w:szCs w:val="22"/>
          <w:lang w:eastAsia="en-CA"/>
        </w:rPr>
        <w:t>Summary of Findings</w:t>
      </w:r>
    </w:p>
    <w:p w14:paraId="03B00FCA" w14:textId="77777777" w:rsidR="00B71D6D" w:rsidRPr="00464430" w:rsidRDefault="00B71D6D" w:rsidP="00B71D6D">
      <w:pPr>
        <w:pStyle w:val="BodyText"/>
        <w:ind w:left="140"/>
        <w:rPr>
          <w:rFonts w:ascii="Arial" w:eastAsia="Times New Roman" w:hAnsi="Arial" w:cs="Arial"/>
          <w:color w:val="000000" w:themeColor="text1"/>
          <w:sz w:val="22"/>
          <w:szCs w:val="22"/>
          <w:lang w:eastAsia="en-CA"/>
        </w:rPr>
      </w:pPr>
      <w:r w:rsidRPr="00464430">
        <w:rPr>
          <w:rFonts w:ascii="Arial" w:eastAsia="Times New Roman" w:hAnsi="Arial" w:cs="Arial"/>
          <w:color w:val="000000" w:themeColor="text1"/>
          <w:sz w:val="22"/>
          <w:szCs w:val="22"/>
          <w:lang w:eastAsia="en-CA"/>
        </w:rPr>
        <w:t>ACADEMICS [Significance (α = 0.05)]</w:t>
      </w:r>
    </w:p>
    <w:p w14:paraId="145A5E13" w14:textId="01A2A008" w:rsidR="00B71D6D" w:rsidRPr="00464430" w:rsidRDefault="00B71D6D" w:rsidP="00B71D6D">
      <w:pPr>
        <w:pStyle w:val="ListParagraph"/>
        <w:numPr>
          <w:ilvl w:val="0"/>
          <w:numId w:val="1"/>
        </w:numPr>
        <w:tabs>
          <w:tab w:val="left" w:pos="428"/>
        </w:tabs>
        <w:ind w:left="428"/>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Major Category</w:t>
      </w:r>
    </w:p>
    <w:p w14:paraId="69D7C063" w14:textId="77777777" w:rsidR="00B71D6D" w:rsidRPr="00464430" w:rsidRDefault="00B71D6D" w:rsidP="00B71D6D">
      <w:pPr>
        <w:pStyle w:val="ListParagraph"/>
        <w:numPr>
          <w:ilvl w:val="0"/>
          <w:numId w:val="1"/>
        </w:numPr>
        <w:tabs>
          <w:tab w:val="left" w:pos="428"/>
        </w:tabs>
        <w:ind w:left="428"/>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Class Level</w:t>
      </w:r>
    </w:p>
    <w:p w14:paraId="14FC8CBB" w14:textId="77777777" w:rsidR="00B71D6D" w:rsidRPr="00464430" w:rsidRDefault="00B71D6D" w:rsidP="00B71D6D">
      <w:pPr>
        <w:pStyle w:val="ListParagraph"/>
        <w:numPr>
          <w:ilvl w:val="0"/>
          <w:numId w:val="1"/>
        </w:numPr>
        <w:tabs>
          <w:tab w:val="left" w:pos="428"/>
        </w:tabs>
        <w:ind w:left="428"/>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Enrolment Status</w:t>
      </w:r>
    </w:p>
    <w:p w14:paraId="37AF9197" w14:textId="77777777" w:rsidR="00B71D6D" w:rsidRPr="00464430" w:rsidRDefault="00B71D6D" w:rsidP="00B71D6D">
      <w:pPr>
        <w:pStyle w:val="ListParagraph"/>
        <w:numPr>
          <w:ilvl w:val="0"/>
          <w:numId w:val="1"/>
        </w:numPr>
        <w:tabs>
          <w:tab w:val="left" w:pos="428"/>
        </w:tabs>
        <w:ind w:left="428"/>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Online Courses</w:t>
      </w:r>
    </w:p>
    <w:p w14:paraId="65711569" w14:textId="77777777" w:rsidR="00B71D6D" w:rsidRPr="00464430" w:rsidRDefault="00B71D6D" w:rsidP="00B71D6D">
      <w:pPr>
        <w:pStyle w:val="ListParagraph"/>
        <w:numPr>
          <w:ilvl w:val="0"/>
          <w:numId w:val="1"/>
        </w:numPr>
        <w:tabs>
          <w:tab w:val="left" w:pos="428"/>
        </w:tabs>
        <w:ind w:left="428"/>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Grades</w:t>
      </w:r>
    </w:p>
    <w:p w14:paraId="3E4F48E4" w14:textId="77777777" w:rsidR="00B71D6D" w:rsidRPr="00464430" w:rsidRDefault="00B71D6D" w:rsidP="00B71D6D">
      <w:pPr>
        <w:pStyle w:val="ListParagraph"/>
        <w:numPr>
          <w:ilvl w:val="0"/>
          <w:numId w:val="1"/>
        </w:numPr>
        <w:tabs>
          <w:tab w:val="left" w:pos="428"/>
        </w:tabs>
        <w:ind w:left="428"/>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Living Arrangement</w:t>
      </w:r>
    </w:p>
    <w:p w14:paraId="6F808DF4" w14:textId="77777777" w:rsidR="001E3D39" w:rsidRDefault="00B71D6D" w:rsidP="00852D24">
      <w:pPr>
        <w:pStyle w:val="ListParagraph"/>
        <w:numPr>
          <w:ilvl w:val="0"/>
          <w:numId w:val="1"/>
        </w:numPr>
        <w:tabs>
          <w:tab w:val="left" w:pos="428"/>
        </w:tabs>
        <w:ind w:left="142" w:right="5840" w:firstLine="0"/>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 xml:space="preserve">Varsity Athletes </w:t>
      </w:r>
    </w:p>
    <w:p w14:paraId="02AC3450" w14:textId="4CF509AA" w:rsidR="00B71D6D" w:rsidRPr="00464430" w:rsidRDefault="00B71D6D" w:rsidP="001E3D39">
      <w:pPr>
        <w:pStyle w:val="ListParagraph"/>
        <w:tabs>
          <w:tab w:val="left" w:pos="428"/>
        </w:tabs>
        <w:ind w:left="140" w:right="7848" w:firstLine="0"/>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No Significance</w:t>
      </w:r>
    </w:p>
    <w:p w14:paraId="235FA09B" w14:textId="77777777" w:rsidR="00B71D6D" w:rsidRPr="00464430" w:rsidRDefault="00B71D6D" w:rsidP="00B71D6D">
      <w:pPr>
        <w:pStyle w:val="ListParagraph"/>
        <w:numPr>
          <w:ilvl w:val="1"/>
          <w:numId w:val="1"/>
        </w:numPr>
        <w:tabs>
          <w:tab w:val="left" w:pos="716"/>
        </w:tabs>
        <w:ind w:hanging="289"/>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Aspiration Level of Education</w:t>
      </w:r>
    </w:p>
    <w:p w14:paraId="26A10EFD" w14:textId="77777777" w:rsidR="00B71D6D" w:rsidRPr="00464430" w:rsidRDefault="00B71D6D" w:rsidP="00B71D6D">
      <w:pPr>
        <w:pStyle w:val="BodyText"/>
        <w:rPr>
          <w:rFonts w:ascii="Arial" w:eastAsia="Times New Roman" w:hAnsi="Arial" w:cs="Arial"/>
          <w:color w:val="000000" w:themeColor="text1"/>
          <w:sz w:val="22"/>
          <w:szCs w:val="22"/>
          <w:lang w:eastAsia="en-CA"/>
        </w:rPr>
      </w:pPr>
    </w:p>
    <w:p w14:paraId="0BC8BEA1" w14:textId="77777777" w:rsidR="00B71D6D" w:rsidRPr="00464430" w:rsidRDefault="00B71D6D" w:rsidP="00B71D6D">
      <w:pPr>
        <w:pStyle w:val="BodyText"/>
        <w:ind w:left="140"/>
        <w:rPr>
          <w:rFonts w:ascii="Arial" w:eastAsia="Times New Roman" w:hAnsi="Arial" w:cs="Arial"/>
          <w:color w:val="000000" w:themeColor="text1"/>
          <w:sz w:val="22"/>
          <w:szCs w:val="22"/>
          <w:lang w:eastAsia="en-CA"/>
        </w:rPr>
      </w:pPr>
      <w:r w:rsidRPr="00464430">
        <w:rPr>
          <w:rFonts w:ascii="Arial" w:eastAsia="Times New Roman" w:hAnsi="Arial" w:cs="Arial"/>
          <w:color w:val="000000" w:themeColor="text1"/>
          <w:sz w:val="22"/>
          <w:szCs w:val="22"/>
          <w:lang w:eastAsia="en-CA"/>
        </w:rPr>
        <w:t>ENGAGEMENT [Significance (α = 0.05)]</w:t>
      </w:r>
    </w:p>
    <w:p w14:paraId="2F45DB3D" w14:textId="77777777" w:rsidR="00B71D6D" w:rsidRPr="00464430" w:rsidRDefault="00B71D6D" w:rsidP="00B71D6D">
      <w:pPr>
        <w:pStyle w:val="ListParagraph"/>
        <w:numPr>
          <w:ilvl w:val="0"/>
          <w:numId w:val="1"/>
        </w:numPr>
        <w:tabs>
          <w:tab w:val="left" w:pos="428"/>
        </w:tabs>
        <w:ind w:right="720" w:firstLine="0"/>
        <w:rPr>
          <w:rFonts w:ascii="Arial" w:eastAsia="Times New Roman" w:hAnsi="Arial" w:cs="Arial"/>
          <w:color w:val="000000" w:themeColor="text1"/>
          <w:lang w:eastAsia="en-CA"/>
        </w:rPr>
      </w:pPr>
      <w:r w:rsidRPr="00464430">
        <w:rPr>
          <w:rFonts w:ascii="Arial" w:eastAsia="Times New Roman" w:hAnsi="Arial" w:cs="Arial"/>
          <w:color w:val="000000" w:themeColor="text1"/>
          <w:lang w:eastAsia="en-CA"/>
        </w:rPr>
        <w:t>41 measures of engagement were found to have significant group differences among those with and without PPSE.</w:t>
      </w:r>
    </w:p>
    <w:p w14:paraId="25F88835" w14:textId="77777777" w:rsidR="00B71D6D" w:rsidRPr="00464430" w:rsidRDefault="00B71D6D" w:rsidP="00B71D6D">
      <w:pPr>
        <w:pStyle w:val="BodyText"/>
        <w:rPr>
          <w:rFonts w:ascii="Arial" w:eastAsia="Times New Roman" w:hAnsi="Arial" w:cs="Arial"/>
          <w:color w:val="000000" w:themeColor="text1"/>
          <w:sz w:val="22"/>
          <w:szCs w:val="22"/>
          <w:lang w:eastAsia="en-CA"/>
        </w:rPr>
      </w:pPr>
    </w:p>
    <w:p w14:paraId="4A8E12F3" w14:textId="77777777" w:rsidR="00B71D6D" w:rsidRPr="00464430" w:rsidRDefault="00B71D6D" w:rsidP="00B71D6D">
      <w:pPr>
        <w:pStyle w:val="BodyText"/>
        <w:ind w:left="140" w:right="198"/>
        <w:rPr>
          <w:rFonts w:ascii="Arial" w:eastAsia="Times New Roman" w:hAnsi="Arial" w:cs="Arial"/>
          <w:color w:val="000000" w:themeColor="text1"/>
          <w:sz w:val="22"/>
          <w:szCs w:val="22"/>
          <w:lang w:eastAsia="en-CA"/>
        </w:rPr>
      </w:pPr>
      <w:r w:rsidRPr="00464430">
        <w:rPr>
          <w:rFonts w:ascii="Arial" w:eastAsia="Times New Roman" w:hAnsi="Arial" w:cs="Arial"/>
          <w:color w:val="000000" w:themeColor="text1"/>
          <w:sz w:val="22"/>
          <w:szCs w:val="22"/>
          <w:lang w:eastAsia="en-CA"/>
        </w:rPr>
        <w:t xml:space="preserve">With respect to Demographics and Academics, the categories in which we observed significant group differences didn’t come as much surprise to us. With respect to the Engagement indicators, there were some interesting observations. </w:t>
      </w:r>
      <w:proofErr w:type="gramStart"/>
      <w:r w:rsidRPr="00464430">
        <w:rPr>
          <w:rFonts w:ascii="Arial" w:eastAsia="Times New Roman" w:hAnsi="Arial" w:cs="Arial"/>
          <w:color w:val="000000" w:themeColor="text1"/>
          <w:sz w:val="22"/>
          <w:szCs w:val="22"/>
          <w:lang w:eastAsia="en-CA"/>
        </w:rPr>
        <w:t>Generally speaking, students</w:t>
      </w:r>
      <w:proofErr w:type="gramEnd"/>
      <w:r w:rsidRPr="00464430">
        <w:rPr>
          <w:rFonts w:ascii="Arial" w:eastAsia="Times New Roman" w:hAnsi="Arial" w:cs="Arial"/>
          <w:color w:val="000000" w:themeColor="text1"/>
          <w:sz w:val="22"/>
          <w:szCs w:val="22"/>
          <w:lang w:eastAsia="en-CA"/>
        </w:rPr>
        <w:t xml:space="preserve"> without PPSE tended to display more institutional satisfaction than those who had prior PPSE (see Q15, Q19, Q20). The same phenomenon was observed when evaluating institutional emphasis (see Q14). Conversely, students with PPSE tended to identify more prevalence of high-impact practices in their programming (Q2, Q4, Q6, Q8) than students without PPSE. As mentioned above, the entire analysis Nipissing’s NSSE data is outlined in Appendix A: Analysis of NSSE Results.</w:t>
      </w:r>
    </w:p>
    <w:p w14:paraId="4779C8DF" w14:textId="77777777" w:rsidR="00B71D6D" w:rsidRDefault="00B71D6D" w:rsidP="00B71D6D">
      <w:pPr>
        <w:sectPr w:rsidR="00B71D6D">
          <w:pgSz w:w="12240" w:h="15840"/>
          <w:pgMar w:top="1340" w:right="1300" w:bottom="1360" w:left="1300" w:header="736" w:footer="1167" w:gutter="0"/>
          <w:cols w:space="720"/>
        </w:sectPr>
      </w:pPr>
    </w:p>
    <w:p w14:paraId="4F78C35C" w14:textId="1A5C21E4" w:rsidR="00B71D6D" w:rsidRPr="00F60ED1" w:rsidRDefault="00B71D6D" w:rsidP="00B71D6D">
      <w:pPr>
        <w:pStyle w:val="Heading3"/>
        <w:spacing w:before="43"/>
        <w:rPr>
          <w:rFonts w:eastAsia="Times New Roman" w:cs="Times New Roman"/>
          <w:color w:val="365F92"/>
          <w:sz w:val="32"/>
          <w:szCs w:val="32"/>
          <w:lang w:val="en-CA"/>
        </w:rPr>
      </w:pPr>
      <w:r w:rsidRPr="00F60ED1">
        <w:rPr>
          <w:rFonts w:eastAsia="Times New Roman" w:cs="Times New Roman"/>
          <w:color w:val="365F92"/>
          <w:sz w:val="32"/>
          <w:szCs w:val="32"/>
          <w:lang w:val="en-CA"/>
        </w:rPr>
        <w:lastRenderedPageBreak/>
        <w:t>Future Research</w:t>
      </w:r>
    </w:p>
    <w:p w14:paraId="24400F40" w14:textId="77777777" w:rsidR="00B71D6D" w:rsidRPr="00F60ED1" w:rsidRDefault="00B71D6D" w:rsidP="00B71D6D">
      <w:pPr>
        <w:pStyle w:val="BodyText"/>
        <w:spacing w:before="80"/>
        <w:ind w:left="140"/>
        <w:rPr>
          <w:rFonts w:ascii="Arial" w:eastAsia="Times New Roman" w:hAnsi="Arial" w:cs="Arial"/>
          <w:color w:val="000000" w:themeColor="text1"/>
          <w:sz w:val="22"/>
          <w:szCs w:val="22"/>
          <w:lang w:eastAsia="en-CA"/>
        </w:rPr>
      </w:pPr>
      <w:r w:rsidRPr="00F60ED1">
        <w:rPr>
          <w:rFonts w:ascii="Arial" w:eastAsia="Times New Roman" w:hAnsi="Arial" w:cs="Arial"/>
          <w:color w:val="000000" w:themeColor="text1"/>
          <w:sz w:val="22"/>
          <w:szCs w:val="22"/>
          <w:lang w:eastAsia="en-CA"/>
        </w:rPr>
        <w:t>Future Research</w:t>
      </w:r>
    </w:p>
    <w:p w14:paraId="4895DF98" w14:textId="77777777" w:rsidR="00B71D6D" w:rsidRPr="00F60ED1" w:rsidRDefault="00B71D6D" w:rsidP="00B71D6D">
      <w:pPr>
        <w:pStyle w:val="BodyText"/>
        <w:ind w:left="140" w:right="198"/>
        <w:rPr>
          <w:rFonts w:ascii="Arial" w:eastAsia="Times New Roman" w:hAnsi="Arial" w:cs="Arial"/>
          <w:color w:val="000000" w:themeColor="text1"/>
          <w:sz w:val="22"/>
          <w:szCs w:val="22"/>
          <w:lang w:eastAsia="en-CA"/>
        </w:rPr>
      </w:pPr>
      <w:r w:rsidRPr="00F60ED1">
        <w:rPr>
          <w:rFonts w:ascii="Arial" w:eastAsia="Times New Roman" w:hAnsi="Arial" w:cs="Arial"/>
          <w:color w:val="000000" w:themeColor="text1"/>
          <w:sz w:val="22"/>
          <w:szCs w:val="22"/>
          <w:lang w:eastAsia="en-CA"/>
        </w:rPr>
        <w:t xml:space="preserve">The scope of this project included basic significance testing of differences in responses between students with/without previous post-secondary education. We were able to identify key areas where significance was noted, but deeper investigation into these differences was outside the current scope. The base </w:t>
      </w:r>
      <w:proofErr w:type="gramStart"/>
      <w:r w:rsidRPr="00F60ED1">
        <w:rPr>
          <w:rFonts w:ascii="Arial" w:eastAsia="Times New Roman" w:hAnsi="Arial" w:cs="Arial"/>
          <w:color w:val="000000" w:themeColor="text1"/>
          <w:sz w:val="22"/>
          <w:szCs w:val="22"/>
          <w:lang w:eastAsia="en-CA"/>
        </w:rPr>
        <w:t>testing</w:t>
      </w:r>
      <w:proofErr w:type="gramEnd"/>
      <w:r w:rsidRPr="00F60ED1">
        <w:rPr>
          <w:rFonts w:ascii="Arial" w:eastAsia="Times New Roman" w:hAnsi="Arial" w:cs="Arial"/>
          <w:color w:val="000000" w:themeColor="text1"/>
          <w:sz w:val="22"/>
          <w:szCs w:val="22"/>
          <w:lang w:eastAsia="en-CA"/>
        </w:rPr>
        <w:t xml:space="preserve"> we have completed could be expanded upon to include further and more detailed data analysis. Another area of interest is to complete further analysis on those questions corresponding to high impact practices (HIPs) within the NSSE instruments. Pre and post 2012 versions of NSSE-defined HIPs did not align and so we were restricted in the number of responses available for further analysis in this area.</w:t>
      </w:r>
    </w:p>
    <w:p w14:paraId="38AF9FCA" w14:textId="77777777" w:rsidR="00B71D6D" w:rsidRPr="00F60ED1" w:rsidRDefault="00B71D6D" w:rsidP="00B71D6D">
      <w:pPr>
        <w:pStyle w:val="BodyText"/>
        <w:rPr>
          <w:rFonts w:ascii="Arial" w:eastAsia="Times New Roman" w:hAnsi="Arial" w:cs="Arial"/>
          <w:color w:val="000000" w:themeColor="text1"/>
          <w:sz w:val="22"/>
          <w:szCs w:val="22"/>
          <w:lang w:eastAsia="en-CA"/>
        </w:rPr>
      </w:pPr>
    </w:p>
    <w:p w14:paraId="5A264C56" w14:textId="67015E64" w:rsidR="00B71D6D" w:rsidRPr="00F60ED1" w:rsidRDefault="00B71D6D" w:rsidP="006A785E">
      <w:pPr>
        <w:pStyle w:val="Heading3"/>
        <w:spacing w:before="1"/>
        <w:rPr>
          <w:rFonts w:eastAsia="Times New Roman" w:cs="Times New Roman"/>
          <w:color w:val="365F92"/>
          <w:sz w:val="32"/>
          <w:szCs w:val="32"/>
          <w:lang w:val="en-CA"/>
        </w:rPr>
      </w:pPr>
      <w:r w:rsidRPr="00F60ED1">
        <w:rPr>
          <w:rFonts w:eastAsia="Times New Roman" w:cs="Times New Roman"/>
          <w:color w:val="365F92"/>
          <w:sz w:val="32"/>
          <w:szCs w:val="32"/>
          <w:lang w:val="en-CA"/>
        </w:rPr>
        <w:t>Student Outcomes</w:t>
      </w:r>
    </w:p>
    <w:p w14:paraId="6BFBC304" w14:textId="73BE480F" w:rsidR="00B71D6D" w:rsidRDefault="00B71D6D" w:rsidP="00B71D6D">
      <w:pPr>
        <w:pStyle w:val="BodyText"/>
        <w:ind w:left="140" w:right="136"/>
        <w:rPr>
          <w:rFonts w:ascii="Arial" w:eastAsia="Times New Roman" w:hAnsi="Arial" w:cs="Arial"/>
          <w:color w:val="000000" w:themeColor="text1"/>
          <w:sz w:val="22"/>
          <w:szCs w:val="22"/>
          <w:lang w:eastAsia="en-CA"/>
        </w:rPr>
      </w:pPr>
      <w:r w:rsidRPr="00F60ED1">
        <w:rPr>
          <w:rFonts w:ascii="Arial" w:eastAsia="Times New Roman" w:hAnsi="Arial" w:cs="Arial"/>
          <w:color w:val="000000" w:themeColor="text1"/>
          <w:sz w:val="22"/>
          <w:szCs w:val="22"/>
          <w:lang w:eastAsia="en-CA"/>
        </w:rPr>
        <w:t>As far as prior learning experience is concerned, Nipissing is among the top five institutions in the province with respect to the number of undergraduate learners with previous post-secondary experience (PPSE).</w:t>
      </w:r>
    </w:p>
    <w:p w14:paraId="65DF6900" w14:textId="77777777" w:rsidR="002F5ADC" w:rsidRPr="00F60ED1" w:rsidRDefault="002F5ADC" w:rsidP="00B71D6D">
      <w:pPr>
        <w:pStyle w:val="BodyText"/>
        <w:ind w:left="140" w:right="136"/>
        <w:rPr>
          <w:rFonts w:ascii="Arial" w:eastAsia="Times New Roman" w:hAnsi="Arial" w:cs="Arial"/>
          <w:color w:val="000000" w:themeColor="text1"/>
          <w:sz w:val="22"/>
          <w:szCs w:val="22"/>
          <w:lang w:eastAsia="en-CA"/>
        </w:rPr>
      </w:pPr>
    </w:p>
    <w:p w14:paraId="34756F62" w14:textId="77777777" w:rsidR="00B71D6D" w:rsidRPr="00F60ED1" w:rsidRDefault="00B71D6D" w:rsidP="00B71D6D">
      <w:pPr>
        <w:pStyle w:val="BodyText"/>
        <w:ind w:left="140" w:right="136"/>
        <w:rPr>
          <w:rFonts w:ascii="Arial" w:eastAsia="Times New Roman" w:hAnsi="Arial" w:cs="Arial"/>
          <w:color w:val="000000" w:themeColor="text1"/>
          <w:sz w:val="22"/>
          <w:szCs w:val="22"/>
          <w:lang w:eastAsia="en-CA"/>
        </w:rPr>
      </w:pPr>
      <w:r w:rsidRPr="00F60ED1">
        <w:rPr>
          <w:rFonts w:ascii="Arial" w:eastAsia="Times New Roman" w:hAnsi="Arial" w:cs="Arial"/>
          <w:color w:val="000000" w:themeColor="text1"/>
          <w:sz w:val="22"/>
          <w:szCs w:val="22"/>
          <w:lang w:eastAsia="en-CA"/>
        </w:rPr>
        <w:t>Confirmation statistics from OUAC also illustrate that proportion of student acceptances that are assessed for advanced standing at Nipissing University is nearly five times greater than the sector (</w:t>
      </w:r>
      <w:proofErr w:type="gramStart"/>
      <w:r w:rsidRPr="00F60ED1">
        <w:rPr>
          <w:rFonts w:ascii="Arial" w:eastAsia="Times New Roman" w:hAnsi="Arial" w:cs="Arial"/>
          <w:color w:val="000000" w:themeColor="text1"/>
          <w:sz w:val="22"/>
          <w:szCs w:val="22"/>
          <w:lang w:eastAsia="en-CA"/>
        </w:rPr>
        <w:t>i.e.</w:t>
      </w:r>
      <w:proofErr w:type="gramEnd"/>
      <w:r w:rsidRPr="00F60ED1">
        <w:rPr>
          <w:rFonts w:ascii="Arial" w:eastAsia="Times New Roman" w:hAnsi="Arial" w:cs="Arial"/>
          <w:color w:val="000000" w:themeColor="text1"/>
          <w:sz w:val="22"/>
          <w:szCs w:val="22"/>
          <w:lang w:eastAsia="en-CA"/>
        </w:rPr>
        <w:t xml:space="preserve"> 28% for Nipissing vs. sector average of about 6%).</w:t>
      </w:r>
    </w:p>
    <w:p w14:paraId="183ED10E" w14:textId="77777777" w:rsidR="00B71D6D" w:rsidRPr="00F60ED1" w:rsidRDefault="00B71D6D" w:rsidP="00B71D6D">
      <w:pPr>
        <w:pStyle w:val="BodyText"/>
        <w:ind w:left="140" w:right="23"/>
        <w:rPr>
          <w:rFonts w:ascii="Arial" w:eastAsia="Times New Roman" w:hAnsi="Arial" w:cs="Arial"/>
          <w:color w:val="000000" w:themeColor="text1"/>
          <w:sz w:val="22"/>
          <w:szCs w:val="22"/>
          <w:lang w:eastAsia="en-CA"/>
        </w:rPr>
      </w:pPr>
      <w:r w:rsidRPr="00F60ED1">
        <w:rPr>
          <w:rFonts w:ascii="Arial" w:eastAsia="Times New Roman" w:hAnsi="Arial" w:cs="Arial"/>
          <w:color w:val="000000" w:themeColor="text1"/>
          <w:sz w:val="22"/>
          <w:szCs w:val="22"/>
          <w:lang w:eastAsia="en-CA"/>
        </w:rPr>
        <w:t>Research like this provide us deeper insight into Academic and Engagement differences amongst transfer students and will allow us to build the necessary supports to ensure their successful transition into their studies at the University.</w:t>
      </w:r>
    </w:p>
    <w:p w14:paraId="3CE6C061" w14:textId="77777777" w:rsidR="00B71D6D" w:rsidRPr="00F60ED1" w:rsidRDefault="00B71D6D" w:rsidP="00B71D6D">
      <w:pPr>
        <w:pStyle w:val="BodyText"/>
        <w:rPr>
          <w:rFonts w:ascii="Arial" w:eastAsia="Times New Roman" w:hAnsi="Arial" w:cs="Arial"/>
          <w:color w:val="000000" w:themeColor="text1"/>
          <w:sz w:val="22"/>
          <w:szCs w:val="22"/>
          <w:lang w:eastAsia="en-CA"/>
        </w:rPr>
      </w:pPr>
    </w:p>
    <w:p w14:paraId="2577DDDE" w14:textId="7C7C74D0" w:rsidR="00B71D6D" w:rsidRPr="006A785E" w:rsidRDefault="00B71D6D" w:rsidP="00B71D6D">
      <w:pPr>
        <w:pStyle w:val="Heading3"/>
        <w:spacing w:before="1"/>
        <w:rPr>
          <w:rFonts w:eastAsia="Times New Roman" w:cs="Times New Roman"/>
          <w:color w:val="365F92"/>
          <w:sz w:val="32"/>
          <w:szCs w:val="32"/>
          <w:lang w:val="en-CA"/>
        </w:rPr>
      </w:pPr>
      <w:r w:rsidRPr="006A785E">
        <w:rPr>
          <w:rFonts w:eastAsia="Times New Roman" w:cs="Times New Roman"/>
          <w:color w:val="365F92"/>
          <w:sz w:val="32"/>
          <w:szCs w:val="32"/>
          <w:lang w:val="en-CA"/>
        </w:rPr>
        <w:t>Institutional Outcomes</w:t>
      </w:r>
    </w:p>
    <w:p w14:paraId="6B96DF41" w14:textId="5202E76D" w:rsidR="00B71D6D" w:rsidRDefault="00B71D6D" w:rsidP="00B71D6D">
      <w:pPr>
        <w:pStyle w:val="BodyText"/>
        <w:spacing w:before="80"/>
        <w:ind w:left="140" w:right="207"/>
        <w:jc w:val="both"/>
        <w:rPr>
          <w:rFonts w:ascii="Arial" w:eastAsia="Times New Roman" w:hAnsi="Arial" w:cs="Arial"/>
          <w:color w:val="000000" w:themeColor="text1"/>
          <w:sz w:val="22"/>
          <w:szCs w:val="22"/>
          <w:lang w:eastAsia="en-CA"/>
        </w:rPr>
      </w:pPr>
      <w:r w:rsidRPr="00F60ED1">
        <w:rPr>
          <w:rFonts w:ascii="Arial" w:eastAsia="Times New Roman" w:hAnsi="Arial" w:cs="Arial"/>
          <w:color w:val="000000" w:themeColor="text1"/>
          <w:sz w:val="22"/>
          <w:szCs w:val="22"/>
          <w:lang w:eastAsia="en-CA"/>
        </w:rPr>
        <w:t>The project specifications asked us to investigate the feasibility of linkages between NSSE and other available administrative data sources within Nipissing</w:t>
      </w:r>
      <w:proofErr w:type="gramStart"/>
      <w:r w:rsidRPr="00F60ED1">
        <w:rPr>
          <w:rFonts w:ascii="Arial" w:eastAsia="Times New Roman" w:hAnsi="Arial" w:cs="Arial"/>
          <w:color w:val="000000" w:themeColor="text1"/>
          <w:sz w:val="22"/>
          <w:szCs w:val="22"/>
          <w:lang w:eastAsia="en-CA"/>
        </w:rPr>
        <w:t>, in particular, our</w:t>
      </w:r>
      <w:proofErr w:type="gramEnd"/>
      <w:r w:rsidRPr="00F60ED1">
        <w:rPr>
          <w:rFonts w:ascii="Arial" w:eastAsia="Times New Roman" w:hAnsi="Arial" w:cs="Arial"/>
          <w:color w:val="000000" w:themeColor="text1"/>
          <w:sz w:val="22"/>
          <w:szCs w:val="22"/>
          <w:lang w:eastAsia="en-CA"/>
        </w:rPr>
        <w:t xml:space="preserve"> student information system and graduate KPI survey data.</w:t>
      </w:r>
    </w:p>
    <w:p w14:paraId="547532B6" w14:textId="77777777" w:rsidR="006C7C16" w:rsidRPr="00F60ED1" w:rsidRDefault="006C7C16" w:rsidP="00B71D6D">
      <w:pPr>
        <w:pStyle w:val="BodyText"/>
        <w:spacing w:before="80"/>
        <w:ind w:left="140" w:right="207"/>
        <w:jc w:val="both"/>
        <w:rPr>
          <w:rFonts w:ascii="Arial" w:eastAsia="Times New Roman" w:hAnsi="Arial" w:cs="Arial"/>
          <w:color w:val="000000" w:themeColor="text1"/>
          <w:sz w:val="22"/>
          <w:szCs w:val="22"/>
          <w:lang w:eastAsia="en-CA"/>
        </w:rPr>
      </w:pPr>
    </w:p>
    <w:p w14:paraId="15FFB56E" w14:textId="77777777" w:rsidR="00B71D6D" w:rsidRPr="00F60ED1" w:rsidRDefault="00B71D6D" w:rsidP="00B71D6D">
      <w:pPr>
        <w:pStyle w:val="BodyText"/>
        <w:ind w:left="140" w:right="136"/>
        <w:rPr>
          <w:rFonts w:ascii="Arial" w:eastAsia="Times New Roman" w:hAnsi="Arial" w:cs="Arial"/>
          <w:color w:val="000000" w:themeColor="text1"/>
          <w:sz w:val="22"/>
          <w:szCs w:val="22"/>
          <w:lang w:eastAsia="en-CA"/>
        </w:rPr>
      </w:pPr>
      <w:r w:rsidRPr="00F60ED1">
        <w:rPr>
          <w:rFonts w:ascii="Arial" w:eastAsia="Times New Roman" w:hAnsi="Arial" w:cs="Arial"/>
          <w:color w:val="000000" w:themeColor="text1"/>
          <w:sz w:val="22"/>
          <w:szCs w:val="22"/>
          <w:lang w:eastAsia="en-CA"/>
        </w:rPr>
        <w:t xml:space="preserve">Since we only began in this office in 2017 (and after NSSE 2017 was administered), we spent a considerable amount of searching through our digital records to find crosswalk files for each NSSE. We are happy to say that we have a full set of crosswalks for our NSSE data which means that we can directly link NSSE results to our administrative data (i.e., our SIS). Now that we have put in the work to source these </w:t>
      </w:r>
      <w:proofErr w:type="gramStart"/>
      <w:r w:rsidRPr="00F60ED1">
        <w:rPr>
          <w:rFonts w:ascii="Arial" w:eastAsia="Times New Roman" w:hAnsi="Arial" w:cs="Arial"/>
          <w:color w:val="000000" w:themeColor="text1"/>
          <w:sz w:val="22"/>
          <w:szCs w:val="22"/>
          <w:lang w:eastAsia="en-CA"/>
        </w:rPr>
        <w:t>crosswalks</w:t>
      </w:r>
      <w:proofErr w:type="gramEnd"/>
      <w:r w:rsidRPr="00F60ED1">
        <w:rPr>
          <w:rFonts w:ascii="Arial" w:eastAsia="Times New Roman" w:hAnsi="Arial" w:cs="Arial"/>
          <w:color w:val="000000" w:themeColor="text1"/>
          <w:sz w:val="22"/>
          <w:szCs w:val="22"/>
          <w:lang w:eastAsia="en-CA"/>
        </w:rPr>
        <w:t xml:space="preserve"> we look forward to the opportunity to work with ONCAT to investigate deeper linkages to improve the body of knowledge with respect to student transfer experiences at Nipissing.</w:t>
      </w:r>
    </w:p>
    <w:p w14:paraId="3A239B85" w14:textId="77777777" w:rsidR="00B71D6D" w:rsidRDefault="00B71D6D" w:rsidP="00B71D6D">
      <w:pPr>
        <w:pStyle w:val="BodyText"/>
        <w:rPr>
          <w:sz w:val="22"/>
        </w:rPr>
      </w:pPr>
    </w:p>
    <w:p w14:paraId="4C3EEB31" w14:textId="77777777" w:rsidR="00B71D6D" w:rsidRDefault="00B71D6D" w:rsidP="00B71D6D">
      <w:pPr>
        <w:pStyle w:val="BodyText"/>
        <w:spacing w:before="7"/>
        <w:rPr>
          <w:sz w:val="17"/>
        </w:rPr>
      </w:pPr>
    </w:p>
    <w:bookmarkEnd w:id="1"/>
    <w:p w14:paraId="1735B609" w14:textId="02045D5D" w:rsidR="007014B5" w:rsidRDefault="007014B5"/>
    <w:p w14:paraId="7C7E7626" w14:textId="1A8786F2" w:rsidR="006A785E" w:rsidRDefault="006A785E"/>
    <w:p w14:paraId="5C50B520" w14:textId="77777777" w:rsidR="006A785E" w:rsidRDefault="006A785E"/>
    <w:p w14:paraId="02952DE5" w14:textId="77777777" w:rsidR="007014B5" w:rsidRDefault="007014B5">
      <w:r>
        <w:rPr>
          <w:noProof/>
        </w:rPr>
        <w:drawing>
          <wp:inline distT="0" distB="0" distL="0" distR="0" wp14:anchorId="266E88DA" wp14:editId="7984DB6C">
            <wp:extent cx="5943600" cy="697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sectPr w:rsidR="007014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5E48" w14:textId="77777777" w:rsidR="00DA7877" w:rsidRDefault="00DA7877" w:rsidP="007014B5">
      <w:pPr>
        <w:spacing w:after="0" w:line="240" w:lineRule="auto"/>
      </w:pPr>
      <w:r>
        <w:separator/>
      </w:r>
    </w:p>
  </w:endnote>
  <w:endnote w:type="continuationSeparator" w:id="0">
    <w:p w14:paraId="2FABB524" w14:textId="77777777" w:rsidR="00DA7877" w:rsidRDefault="00DA7877" w:rsidP="0070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D484" w14:textId="77777777" w:rsidR="00DA7877" w:rsidRDefault="00DA7877" w:rsidP="007014B5">
      <w:pPr>
        <w:spacing w:after="0" w:line="240" w:lineRule="auto"/>
      </w:pPr>
      <w:r>
        <w:separator/>
      </w:r>
    </w:p>
  </w:footnote>
  <w:footnote w:type="continuationSeparator" w:id="0">
    <w:p w14:paraId="3F684E7E" w14:textId="77777777" w:rsidR="00DA7877" w:rsidRDefault="00DA7877" w:rsidP="0070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7943"/>
    <w:multiLevelType w:val="hybridMultilevel"/>
    <w:tmpl w:val="BED81D6E"/>
    <w:lvl w:ilvl="0" w:tplc="6B66C604">
      <w:start w:val="1"/>
      <w:numFmt w:val="decimal"/>
      <w:lvlText w:val="%1."/>
      <w:lvlJc w:val="left"/>
      <w:pPr>
        <w:ind w:left="140" w:hanging="289"/>
      </w:pPr>
      <w:rPr>
        <w:rFonts w:ascii="Cambria" w:eastAsia="Cambria" w:hAnsi="Cambria" w:cs="Cambria" w:hint="default"/>
        <w:b w:val="0"/>
        <w:bCs w:val="0"/>
        <w:i w:val="0"/>
        <w:iCs w:val="0"/>
        <w:w w:val="100"/>
        <w:sz w:val="20"/>
        <w:szCs w:val="20"/>
        <w:lang w:val="en-US" w:eastAsia="en-US" w:bidi="ar-SA"/>
      </w:rPr>
    </w:lvl>
    <w:lvl w:ilvl="1" w:tplc="2A5ECA56">
      <w:numFmt w:val="bullet"/>
      <w:lvlText w:val="•"/>
      <w:lvlJc w:val="left"/>
      <w:pPr>
        <w:ind w:left="1090" w:hanging="289"/>
      </w:pPr>
      <w:rPr>
        <w:rFonts w:hint="default"/>
        <w:lang w:val="en-US" w:eastAsia="en-US" w:bidi="ar-SA"/>
      </w:rPr>
    </w:lvl>
    <w:lvl w:ilvl="2" w:tplc="D930B8F2">
      <w:numFmt w:val="bullet"/>
      <w:lvlText w:val="•"/>
      <w:lvlJc w:val="left"/>
      <w:pPr>
        <w:ind w:left="2040" w:hanging="289"/>
      </w:pPr>
      <w:rPr>
        <w:rFonts w:hint="default"/>
        <w:lang w:val="en-US" w:eastAsia="en-US" w:bidi="ar-SA"/>
      </w:rPr>
    </w:lvl>
    <w:lvl w:ilvl="3" w:tplc="C7A6E528">
      <w:numFmt w:val="bullet"/>
      <w:lvlText w:val="•"/>
      <w:lvlJc w:val="left"/>
      <w:pPr>
        <w:ind w:left="2990" w:hanging="289"/>
      </w:pPr>
      <w:rPr>
        <w:rFonts w:hint="default"/>
        <w:lang w:val="en-US" w:eastAsia="en-US" w:bidi="ar-SA"/>
      </w:rPr>
    </w:lvl>
    <w:lvl w:ilvl="4" w:tplc="CC3CD5BE">
      <w:numFmt w:val="bullet"/>
      <w:lvlText w:val="•"/>
      <w:lvlJc w:val="left"/>
      <w:pPr>
        <w:ind w:left="3940" w:hanging="289"/>
      </w:pPr>
      <w:rPr>
        <w:rFonts w:hint="default"/>
        <w:lang w:val="en-US" w:eastAsia="en-US" w:bidi="ar-SA"/>
      </w:rPr>
    </w:lvl>
    <w:lvl w:ilvl="5" w:tplc="51C67FB0">
      <w:numFmt w:val="bullet"/>
      <w:lvlText w:val="•"/>
      <w:lvlJc w:val="left"/>
      <w:pPr>
        <w:ind w:left="4890" w:hanging="289"/>
      </w:pPr>
      <w:rPr>
        <w:rFonts w:hint="default"/>
        <w:lang w:val="en-US" w:eastAsia="en-US" w:bidi="ar-SA"/>
      </w:rPr>
    </w:lvl>
    <w:lvl w:ilvl="6" w:tplc="FA984D14">
      <w:numFmt w:val="bullet"/>
      <w:lvlText w:val="•"/>
      <w:lvlJc w:val="left"/>
      <w:pPr>
        <w:ind w:left="5840" w:hanging="289"/>
      </w:pPr>
      <w:rPr>
        <w:rFonts w:hint="default"/>
        <w:lang w:val="en-US" w:eastAsia="en-US" w:bidi="ar-SA"/>
      </w:rPr>
    </w:lvl>
    <w:lvl w:ilvl="7" w:tplc="5B0678E8">
      <w:numFmt w:val="bullet"/>
      <w:lvlText w:val="•"/>
      <w:lvlJc w:val="left"/>
      <w:pPr>
        <w:ind w:left="6790" w:hanging="289"/>
      </w:pPr>
      <w:rPr>
        <w:rFonts w:hint="default"/>
        <w:lang w:val="en-US" w:eastAsia="en-US" w:bidi="ar-SA"/>
      </w:rPr>
    </w:lvl>
    <w:lvl w:ilvl="8" w:tplc="F8349C02">
      <w:numFmt w:val="bullet"/>
      <w:lvlText w:val="•"/>
      <w:lvlJc w:val="left"/>
      <w:pPr>
        <w:ind w:left="7740" w:hanging="289"/>
      </w:pPr>
      <w:rPr>
        <w:rFonts w:hint="default"/>
        <w:lang w:val="en-US" w:eastAsia="en-US" w:bidi="ar-SA"/>
      </w:rPr>
    </w:lvl>
  </w:abstractNum>
  <w:abstractNum w:abstractNumId="1" w15:restartNumberingAfterBreak="0">
    <w:nsid w:val="35DA3872"/>
    <w:multiLevelType w:val="hybridMultilevel"/>
    <w:tmpl w:val="7B608F7E"/>
    <w:lvl w:ilvl="0" w:tplc="5CCC51A8">
      <w:numFmt w:val="bullet"/>
      <w:lvlText w:val="•"/>
      <w:lvlJc w:val="left"/>
      <w:pPr>
        <w:ind w:left="140" w:hanging="288"/>
      </w:pPr>
      <w:rPr>
        <w:rFonts w:ascii="Cambria" w:eastAsia="Cambria" w:hAnsi="Cambria" w:cs="Cambria" w:hint="default"/>
        <w:b w:val="0"/>
        <w:bCs w:val="0"/>
        <w:i w:val="0"/>
        <w:iCs w:val="0"/>
        <w:w w:val="100"/>
        <w:sz w:val="20"/>
        <w:szCs w:val="20"/>
        <w:lang w:val="en-US" w:eastAsia="en-US" w:bidi="ar-SA"/>
      </w:rPr>
    </w:lvl>
    <w:lvl w:ilvl="1" w:tplc="030AE4FE">
      <w:numFmt w:val="bullet"/>
      <w:lvlText w:val="•"/>
      <w:lvlJc w:val="left"/>
      <w:pPr>
        <w:ind w:left="716" w:hanging="288"/>
      </w:pPr>
      <w:rPr>
        <w:rFonts w:ascii="Cambria" w:eastAsia="Cambria" w:hAnsi="Cambria" w:cs="Cambria" w:hint="default"/>
        <w:b w:val="0"/>
        <w:bCs w:val="0"/>
        <w:i w:val="0"/>
        <w:iCs w:val="0"/>
        <w:w w:val="100"/>
        <w:sz w:val="20"/>
        <w:szCs w:val="20"/>
        <w:lang w:val="en-US" w:eastAsia="en-US" w:bidi="ar-SA"/>
      </w:rPr>
    </w:lvl>
    <w:lvl w:ilvl="2" w:tplc="9F36733A">
      <w:numFmt w:val="bullet"/>
      <w:lvlText w:val="•"/>
      <w:lvlJc w:val="left"/>
      <w:pPr>
        <w:ind w:left="1711" w:hanging="288"/>
      </w:pPr>
      <w:rPr>
        <w:rFonts w:hint="default"/>
        <w:lang w:val="en-US" w:eastAsia="en-US" w:bidi="ar-SA"/>
      </w:rPr>
    </w:lvl>
    <w:lvl w:ilvl="3" w:tplc="15442BC4">
      <w:numFmt w:val="bullet"/>
      <w:lvlText w:val="•"/>
      <w:lvlJc w:val="left"/>
      <w:pPr>
        <w:ind w:left="2702" w:hanging="288"/>
      </w:pPr>
      <w:rPr>
        <w:rFonts w:hint="default"/>
        <w:lang w:val="en-US" w:eastAsia="en-US" w:bidi="ar-SA"/>
      </w:rPr>
    </w:lvl>
    <w:lvl w:ilvl="4" w:tplc="566AAA26">
      <w:numFmt w:val="bullet"/>
      <w:lvlText w:val="•"/>
      <w:lvlJc w:val="left"/>
      <w:pPr>
        <w:ind w:left="3693" w:hanging="288"/>
      </w:pPr>
      <w:rPr>
        <w:rFonts w:hint="default"/>
        <w:lang w:val="en-US" w:eastAsia="en-US" w:bidi="ar-SA"/>
      </w:rPr>
    </w:lvl>
    <w:lvl w:ilvl="5" w:tplc="297CD0BE">
      <w:numFmt w:val="bullet"/>
      <w:lvlText w:val="•"/>
      <w:lvlJc w:val="left"/>
      <w:pPr>
        <w:ind w:left="4684" w:hanging="288"/>
      </w:pPr>
      <w:rPr>
        <w:rFonts w:hint="default"/>
        <w:lang w:val="en-US" w:eastAsia="en-US" w:bidi="ar-SA"/>
      </w:rPr>
    </w:lvl>
    <w:lvl w:ilvl="6" w:tplc="C5748842">
      <w:numFmt w:val="bullet"/>
      <w:lvlText w:val="•"/>
      <w:lvlJc w:val="left"/>
      <w:pPr>
        <w:ind w:left="5675" w:hanging="288"/>
      </w:pPr>
      <w:rPr>
        <w:rFonts w:hint="default"/>
        <w:lang w:val="en-US" w:eastAsia="en-US" w:bidi="ar-SA"/>
      </w:rPr>
    </w:lvl>
    <w:lvl w:ilvl="7" w:tplc="C248BC80">
      <w:numFmt w:val="bullet"/>
      <w:lvlText w:val="•"/>
      <w:lvlJc w:val="left"/>
      <w:pPr>
        <w:ind w:left="6666" w:hanging="288"/>
      </w:pPr>
      <w:rPr>
        <w:rFonts w:hint="default"/>
        <w:lang w:val="en-US" w:eastAsia="en-US" w:bidi="ar-SA"/>
      </w:rPr>
    </w:lvl>
    <w:lvl w:ilvl="8" w:tplc="EB862274">
      <w:numFmt w:val="bullet"/>
      <w:lvlText w:val="•"/>
      <w:lvlJc w:val="left"/>
      <w:pPr>
        <w:ind w:left="7657" w:hanging="288"/>
      </w:pPr>
      <w:rPr>
        <w:rFonts w:hint="default"/>
        <w:lang w:val="en-US" w:eastAsia="en-US" w:bidi="ar-SA"/>
      </w:rPr>
    </w:lvl>
  </w:abstractNum>
  <w:num w:numId="1" w16cid:durableId="150223330">
    <w:abstractNumId w:val="1"/>
  </w:num>
  <w:num w:numId="2" w16cid:durableId="126026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30"/>
    <w:rsid w:val="001B3CF1"/>
    <w:rsid w:val="001E3D39"/>
    <w:rsid w:val="00231BC1"/>
    <w:rsid w:val="002616C6"/>
    <w:rsid w:val="002E3098"/>
    <w:rsid w:val="002F5ADC"/>
    <w:rsid w:val="003D042C"/>
    <w:rsid w:val="003D3C17"/>
    <w:rsid w:val="003E1A8E"/>
    <w:rsid w:val="00406E38"/>
    <w:rsid w:val="00464430"/>
    <w:rsid w:val="00494242"/>
    <w:rsid w:val="00523E22"/>
    <w:rsid w:val="00544A0D"/>
    <w:rsid w:val="00552B63"/>
    <w:rsid w:val="00580165"/>
    <w:rsid w:val="005E0D83"/>
    <w:rsid w:val="00693730"/>
    <w:rsid w:val="006A785E"/>
    <w:rsid w:val="006C7C16"/>
    <w:rsid w:val="007014B5"/>
    <w:rsid w:val="00852D24"/>
    <w:rsid w:val="00922FCA"/>
    <w:rsid w:val="00A423CC"/>
    <w:rsid w:val="00A71C3C"/>
    <w:rsid w:val="00B14D49"/>
    <w:rsid w:val="00B65552"/>
    <w:rsid w:val="00B66BC7"/>
    <w:rsid w:val="00B719B4"/>
    <w:rsid w:val="00B71D6D"/>
    <w:rsid w:val="00D742E1"/>
    <w:rsid w:val="00DA7877"/>
    <w:rsid w:val="00EB633F"/>
    <w:rsid w:val="00F60ED1"/>
    <w:rsid w:val="00FE07C0"/>
    <w:rsid w:val="01FF5CB1"/>
    <w:rsid w:val="2BD86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5398"/>
  <w15:chartTrackingRefBased/>
  <w15:docId w15:val="{955E1B15-A939-5345-BBEC-4528C7B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D6D"/>
    <w:pPr>
      <w:widowControl w:val="0"/>
      <w:autoSpaceDE w:val="0"/>
      <w:autoSpaceDN w:val="0"/>
      <w:spacing w:before="90" w:after="0" w:line="240" w:lineRule="auto"/>
      <w:ind w:left="140"/>
      <w:outlineLvl w:val="0"/>
    </w:pPr>
    <w:rPr>
      <w:rFonts w:ascii="Calibri" w:eastAsia="Calibri" w:hAnsi="Calibri" w:cs="Calibri"/>
      <w:sz w:val="40"/>
      <w:szCs w:val="40"/>
      <w:lang w:val="en-US"/>
    </w:rPr>
  </w:style>
  <w:style w:type="paragraph" w:styleId="Heading2">
    <w:name w:val="heading 2"/>
    <w:basedOn w:val="Normal"/>
    <w:link w:val="Heading2Char"/>
    <w:uiPriority w:val="9"/>
    <w:unhideWhenUsed/>
    <w:qFormat/>
    <w:rsid w:val="00B71D6D"/>
    <w:pPr>
      <w:widowControl w:val="0"/>
      <w:autoSpaceDE w:val="0"/>
      <w:autoSpaceDN w:val="0"/>
      <w:spacing w:before="24" w:after="0" w:line="240" w:lineRule="auto"/>
      <w:ind w:left="140"/>
      <w:outlineLvl w:val="1"/>
    </w:pPr>
    <w:rPr>
      <w:rFonts w:ascii="Calibri" w:eastAsia="Calibri" w:hAnsi="Calibri" w:cs="Calibri"/>
      <w:b/>
      <w:bCs/>
      <w:i/>
      <w:iCs/>
      <w:sz w:val="38"/>
      <w:szCs w:val="38"/>
      <w:u w:val="single" w:color="000000"/>
      <w:lang w:val="en-US"/>
    </w:rPr>
  </w:style>
  <w:style w:type="paragraph" w:styleId="Heading3">
    <w:name w:val="heading 3"/>
    <w:basedOn w:val="Normal"/>
    <w:link w:val="Heading3Char"/>
    <w:uiPriority w:val="9"/>
    <w:unhideWhenUsed/>
    <w:qFormat/>
    <w:rsid w:val="00B71D6D"/>
    <w:pPr>
      <w:widowControl w:val="0"/>
      <w:autoSpaceDE w:val="0"/>
      <w:autoSpaceDN w:val="0"/>
      <w:spacing w:after="0" w:line="240" w:lineRule="auto"/>
      <w:ind w:left="140"/>
      <w:outlineLvl w:val="2"/>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4B5"/>
    <w:rPr>
      <w:color w:val="808080"/>
    </w:rPr>
  </w:style>
  <w:style w:type="paragraph" w:styleId="Header">
    <w:name w:val="header"/>
    <w:basedOn w:val="Normal"/>
    <w:link w:val="HeaderChar"/>
    <w:uiPriority w:val="99"/>
    <w:unhideWhenUsed/>
    <w:rsid w:val="0070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B5"/>
  </w:style>
  <w:style w:type="paragraph" w:styleId="Footer">
    <w:name w:val="footer"/>
    <w:basedOn w:val="Normal"/>
    <w:link w:val="FooterChar"/>
    <w:uiPriority w:val="99"/>
    <w:unhideWhenUsed/>
    <w:rsid w:val="0070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B5"/>
  </w:style>
  <w:style w:type="character" w:customStyle="1" w:styleId="Heading1Char">
    <w:name w:val="Heading 1 Char"/>
    <w:basedOn w:val="DefaultParagraphFont"/>
    <w:link w:val="Heading1"/>
    <w:uiPriority w:val="9"/>
    <w:rsid w:val="00B71D6D"/>
    <w:rPr>
      <w:rFonts w:ascii="Calibri" w:eastAsia="Calibri" w:hAnsi="Calibri" w:cs="Calibri"/>
      <w:sz w:val="40"/>
      <w:szCs w:val="40"/>
      <w:lang w:val="en-US"/>
    </w:rPr>
  </w:style>
  <w:style w:type="character" w:customStyle="1" w:styleId="Heading2Char">
    <w:name w:val="Heading 2 Char"/>
    <w:basedOn w:val="DefaultParagraphFont"/>
    <w:link w:val="Heading2"/>
    <w:uiPriority w:val="9"/>
    <w:rsid w:val="00B71D6D"/>
    <w:rPr>
      <w:rFonts w:ascii="Calibri" w:eastAsia="Calibri" w:hAnsi="Calibri" w:cs="Calibri"/>
      <w:b/>
      <w:bCs/>
      <w:i/>
      <w:iCs/>
      <w:sz w:val="38"/>
      <w:szCs w:val="38"/>
      <w:u w:val="single" w:color="000000"/>
      <w:lang w:val="en-US"/>
    </w:rPr>
  </w:style>
  <w:style w:type="character" w:customStyle="1" w:styleId="Heading3Char">
    <w:name w:val="Heading 3 Char"/>
    <w:basedOn w:val="DefaultParagraphFont"/>
    <w:link w:val="Heading3"/>
    <w:uiPriority w:val="9"/>
    <w:rsid w:val="00B71D6D"/>
    <w:rPr>
      <w:rFonts w:ascii="Calibri" w:eastAsia="Calibri" w:hAnsi="Calibri" w:cs="Calibri"/>
      <w:b/>
      <w:bCs/>
      <w:sz w:val="28"/>
      <w:szCs w:val="28"/>
      <w:lang w:val="en-US"/>
    </w:rPr>
  </w:style>
  <w:style w:type="paragraph" w:styleId="BodyText">
    <w:name w:val="Body Text"/>
    <w:basedOn w:val="Normal"/>
    <w:link w:val="BodyTextChar"/>
    <w:uiPriority w:val="1"/>
    <w:qFormat/>
    <w:rsid w:val="00B71D6D"/>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B71D6D"/>
    <w:rPr>
      <w:rFonts w:ascii="Cambria" w:eastAsia="Cambria" w:hAnsi="Cambria" w:cs="Cambria"/>
      <w:sz w:val="20"/>
      <w:szCs w:val="20"/>
      <w:lang w:val="en-US"/>
    </w:rPr>
  </w:style>
  <w:style w:type="paragraph" w:styleId="ListParagraph">
    <w:name w:val="List Paragraph"/>
    <w:basedOn w:val="Normal"/>
    <w:uiPriority w:val="1"/>
    <w:qFormat/>
    <w:rsid w:val="00B71D6D"/>
    <w:pPr>
      <w:widowControl w:val="0"/>
      <w:autoSpaceDE w:val="0"/>
      <w:autoSpaceDN w:val="0"/>
      <w:spacing w:after="0" w:line="240" w:lineRule="auto"/>
      <w:ind w:left="428" w:hanging="288"/>
    </w:pPr>
    <w:rPr>
      <w:rFonts w:ascii="Cambria" w:eastAsia="Cambria" w:hAnsi="Cambria" w:cs="Cambria"/>
      <w:lang w:val="en-US"/>
    </w:rPr>
  </w:style>
  <w:style w:type="paragraph" w:customStyle="1" w:styleId="TableParagraph">
    <w:name w:val="Table Paragraph"/>
    <w:basedOn w:val="Normal"/>
    <w:uiPriority w:val="1"/>
    <w:qFormat/>
    <w:rsid w:val="00B71D6D"/>
    <w:pPr>
      <w:widowControl w:val="0"/>
      <w:autoSpaceDE w:val="0"/>
      <w:autoSpaceDN w:val="0"/>
      <w:spacing w:after="0" w:line="240" w:lineRule="auto"/>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D7E4CA9F5674B909837CB7FE58DA6"/>
        <w:category>
          <w:name w:val="General"/>
          <w:gallery w:val="placeholder"/>
        </w:category>
        <w:types>
          <w:type w:val="bbPlcHdr"/>
        </w:types>
        <w:behaviors>
          <w:behavior w:val="content"/>
        </w:behaviors>
        <w:guid w:val="{435F9F20-F43C-8E48-930E-3AA0E28CB417}"/>
      </w:docPartPr>
      <w:docPartBody>
        <w:p w:rsidR="003B144E" w:rsidRDefault="002616C6">
          <w:pPr>
            <w:pStyle w:val="6D7D7E4CA9F5674B909837CB7FE58DA6"/>
          </w:pPr>
          <w:r w:rsidRPr="004971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C6"/>
    <w:rsid w:val="002616C6"/>
    <w:rsid w:val="003B144E"/>
    <w:rsid w:val="00506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7D7E4CA9F5674B909837CB7FE58DA6">
    <w:name w:val="6D7D7E4CA9F5674B909837CB7FE58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Nipissing University NSSE Analysis Project</dc:title>
  <dc:subject/>
  <dc:creator>Microsoft Office User</dc:creator>
  <cp:keywords/>
  <dc:description/>
  <cp:lastModifiedBy>Inna Yeranosyan</cp:lastModifiedBy>
  <cp:revision>30</cp:revision>
  <dcterms:created xsi:type="dcterms:W3CDTF">2021-12-15T15:14:00Z</dcterms:created>
  <dcterms:modified xsi:type="dcterms:W3CDTF">2022-10-05T13:25:00Z</dcterms:modified>
</cp:coreProperties>
</file>